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21226" w14:textId="77777777" w:rsidR="002972A2" w:rsidRDefault="00000000">
      <w:pPr>
        <w:pBdr>
          <w:top w:val="nil"/>
          <w:left w:val="nil"/>
          <w:bottom w:val="nil"/>
          <w:right w:val="nil"/>
          <w:between w:val="nil"/>
        </w:pBdr>
        <w:ind w:left="-142"/>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1.0</w:t>
      </w:r>
      <w:r>
        <w:rPr>
          <w:rFonts w:ascii="Times New Roman" w:eastAsia="Times New Roman" w:hAnsi="Times New Roman" w:cs="Times New Roman"/>
          <w:b/>
          <w:bCs/>
          <w:color w:val="000000"/>
          <w:sz w:val="22"/>
          <w:szCs w:val="22"/>
        </w:rPr>
        <w:tab/>
        <w:t>PURPOSE</w:t>
      </w:r>
    </w:p>
    <w:p w14:paraId="682F18F0" w14:textId="77777777" w:rsidR="002972A2" w:rsidRDefault="002972A2">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71DCA6EC" w14:textId="77777777" w:rsidR="002972A2"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This Advisory Circular provides guidelines to the Service Provider Organizations on how to behave in safety management environment. The document illustrates how safety performance is possible when safety becomes of value within an organization.  </w:t>
      </w:r>
    </w:p>
    <w:p w14:paraId="38FC8F9D" w14:textId="77777777" w:rsidR="002972A2" w:rsidRDefault="002972A2">
      <w:pPr>
        <w:pBdr>
          <w:top w:val="nil"/>
          <w:left w:val="nil"/>
          <w:bottom w:val="nil"/>
          <w:right w:val="nil"/>
          <w:between w:val="nil"/>
        </w:pBdr>
        <w:ind w:left="709"/>
        <w:jc w:val="both"/>
        <w:rPr>
          <w:rFonts w:ascii="Times New Roman" w:eastAsia="Times New Roman" w:hAnsi="Times New Roman" w:cs="Times New Roman"/>
          <w:color w:val="000000"/>
          <w:sz w:val="22"/>
          <w:szCs w:val="22"/>
        </w:rPr>
      </w:pPr>
    </w:p>
    <w:p w14:paraId="4C1E58D2" w14:textId="77777777" w:rsidR="002972A2" w:rsidRDefault="00000000">
      <w:pPr>
        <w:pBdr>
          <w:top w:val="nil"/>
          <w:left w:val="nil"/>
          <w:bottom w:val="nil"/>
          <w:right w:val="nil"/>
          <w:between w:val="nil"/>
        </w:pBdr>
        <w:ind w:left="-142"/>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2.0 </w:t>
      </w:r>
      <w:r>
        <w:rPr>
          <w:rFonts w:ascii="Times New Roman" w:eastAsia="Times New Roman" w:hAnsi="Times New Roman" w:cs="Times New Roman"/>
          <w:b/>
          <w:bCs/>
          <w:color w:val="000000"/>
          <w:sz w:val="22"/>
          <w:szCs w:val="22"/>
        </w:rPr>
        <w:tab/>
        <w:t>REFERENCE.</w:t>
      </w:r>
    </w:p>
    <w:p w14:paraId="43424183" w14:textId="77777777" w:rsidR="002972A2" w:rsidRDefault="002972A2">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5FD81488" w14:textId="77777777" w:rsidR="002972A2"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Civil Aviation (Safety Management) Regulations, as amended</w:t>
      </w:r>
    </w:p>
    <w:p w14:paraId="7F988C5B" w14:textId="77777777" w:rsidR="002972A2" w:rsidRDefault="002972A2">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1A4D6EEE" w14:textId="77777777" w:rsidR="002972A2" w:rsidRDefault="00000000">
      <w:pPr>
        <w:pBdr>
          <w:top w:val="nil"/>
          <w:left w:val="nil"/>
          <w:bottom w:val="nil"/>
          <w:right w:val="nil"/>
          <w:between w:val="nil"/>
        </w:pBdr>
        <w:ind w:left="-142"/>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3.0</w:t>
      </w:r>
      <w:r>
        <w:rPr>
          <w:rFonts w:ascii="Times New Roman" w:eastAsia="Times New Roman" w:hAnsi="Times New Roman" w:cs="Times New Roman"/>
          <w:b/>
          <w:bCs/>
          <w:color w:val="000000"/>
          <w:sz w:val="22"/>
          <w:szCs w:val="22"/>
        </w:rPr>
        <w:tab/>
        <w:t xml:space="preserve">BACKGROUND </w:t>
      </w:r>
    </w:p>
    <w:p w14:paraId="27A55B48" w14:textId="77777777" w:rsidR="002972A2" w:rsidRDefault="002972A2">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0DABA330" w14:textId="77777777" w:rsidR="002972A2" w:rsidRDefault="00000000">
      <w:pPr>
        <w:pBdr>
          <w:top w:val="nil"/>
          <w:left w:val="nil"/>
          <w:bottom w:val="nil"/>
          <w:right w:val="nil"/>
          <w:between w:val="nil"/>
        </w:pBdr>
        <w:ind w:left="-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3.1</w:t>
      </w:r>
      <w:r>
        <w:rPr>
          <w:rFonts w:ascii="Times New Roman" w:eastAsia="Times New Roman" w:hAnsi="Times New Roman" w:cs="Times New Roman"/>
          <w:color w:val="000000"/>
          <w:sz w:val="22"/>
          <w:szCs w:val="22"/>
        </w:rPr>
        <w:tab/>
        <w:t>Culture characteristics</w:t>
      </w:r>
    </w:p>
    <w:p w14:paraId="0CA02D9A" w14:textId="77777777" w:rsidR="002972A2" w:rsidRDefault="002972A2">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78021328" w14:textId="77777777" w:rsidR="002972A2"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Culture is characterized by the beliefs, values, biases and their behaviour that are shared by members of a society, group or organization. Service providers may establish a reporting culture considering the organizational, professional and national cultures.</w:t>
      </w:r>
    </w:p>
    <w:p w14:paraId="02A5D7CD" w14:textId="77777777" w:rsidR="002972A2" w:rsidRDefault="002972A2">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2F548719" w14:textId="77777777" w:rsidR="002972A2" w:rsidRDefault="00000000">
      <w:pPr>
        <w:pBdr>
          <w:top w:val="nil"/>
          <w:left w:val="nil"/>
          <w:bottom w:val="nil"/>
          <w:right w:val="nil"/>
          <w:between w:val="nil"/>
        </w:pBdr>
        <w:ind w:left="-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3.2</w:t>
      </w:r>
      <w:r>
        <w:rPr>
          <w:rFonts w:ascii="Times New Roman" w:eastAsia="Times New Roman" w:hAnsi="Times New Roman" w:cs="Times New Roman"/>
          <w:color w:val="000000"/>
          <w:sz w:val="22"/>
          <w:szCs w:val="22"/>
        </w:rPr>
        <w:tab/>
        <w:t>A healthy safety culture and its characteristics.</w:t>
      </w:r>
    </w:p>
    <w:p w14:paraId="58CFA9B1" w14:textId="77777777" w:rsidR="002972A2" w:rsidRDefault="002972A2">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31ADD374" w14:textId="77777777" w:rsidR="002972A2"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safety culture may rely on a high degree of trust and respect between personnel and management and may be created and supported at the senior management level. </w:t>
      </w:r>
    </w:p>
    <w:p w14:paraId="7495CF0C" w14:textId="77777777" w:rsidR="002972A2" w:rsidRDefault="002972A2">
      <w:pPr>
        <w:pBdr>
          <w:top w:val="nil"/>
          <w:left w:val="nil"/>
          <w:bottom w:val="nil"/>
          <w:right w:val="nil"/>
          <w:between w:val="nil"/>
        </w:pBdr>
        <w:ind w:left="709"/>
        <w:jc w:val="both"/>
        <w:rPr>
          <w:rFonts w:ascii="Times New Roman" w:eastAsia="Times New Roman" w:hAnsi="Times New Roman" w:cs="Times New Roman"/>
          <w:color w:val="000000"/>
          <w:sz w:val="22"/>
          <w:szCs w:val="22"/>
        </w:rPr>
      </w:pPr>
    </w:p>
    <w:p w14:paraId="3234EB42" w14:textId="77777777" w:rsidR="002972A2"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healthy safety culture is characterized as follow:</w:t>
      </w:r>
    </w:p>
    <w:p w14:paraId="33320C08" w14:textId="77777777" w:rsidR="002972A2" w:rsidRDefault="002972A2">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22046C92" w14:textId="77777777" w:rsidR="002972A2"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rPr>
        <w:tab/>
        <w:t>An active desire for improvement;</w:t>
      </w:r>
    </w:p>
    <w:p w14:paraId="1EC5D277" w14:textId="77777777" w:rsidR="002972A2"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w:t>
      </w:r>
      <w:r>
        <w:rPr>
          <w:rFonts w:ascii="Times New Roman" w:eastAsia="Times New Roman" w:hAnsi="Times New Roman" w:cs="Times New Roman"/>
          <w:color w:val="000000"/>
          <w:sz w:val="22"/>
          <w:szCs w:val="22"/>
        </w:rPr>
        <w:tab/>
        <w:t>Vigilance on hazards;</w:t>
      </w:r>
    </w:p>
    <w:p w14:paraId="2627E644" w14:textId="77777777" w:rsidR="002972A2"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w:t>
      </w:r>
      <w:r>
        <w:rPr>
          <w:rFonts w:ascii="Times New Roman" w:eastAsia="Times New Roman" w:hAnsi="Times New Roman" w:cs="Times New Roman"/>
          <w:color w:val="000000"/>
          <w:sz w:val="22"/>
          <w:szCs w:val="22"/>
        </w:rPr>
        <w:tab/>
        <w:t>A continuous monitoring, analysis and investigation;</w:t>
      </w:r>
    </w:p>
    <w:p w14:paraId="63B979AB" w14:textId="77777777" w:rsidR="002972A2" w:rsidRDefault="00000000">
      <w:pPr>
        <w:pBdr>
          <w:top w:val="nil"/>
          <w:left w:val="nil"/>
          <w:bottom w:val="nil"/>
          <w:right w:val="nil"/>
          <w:between w:val="nil"/>
        </w:pBdr>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w:t>
      </w:r>
      <w:r>
        <w:rPr>
          <w:rFonts w:ascii="Times New Roman" w:eastAsia="Times New Roman" w:hAnsi="Times New Roman" w:cs="Times New Roman"/>
          <w:color w:val="000000"/>
          <w:sz w:val="22"/>
          <w:szCs w:val="22"/>
        </w:rPr>
        <w:tab/>
        <w:t>Existence of a shared commitment by personnel and management to personal safety responsibilities;</w:t>
      </w:r>
    </w:p>
    <w:p w14:paraId="5D7D9373" w14:textId="77777777" w:rsidR="002972A2"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w:t>
      </w:r>
      <w:r>
        <w:rPr>
          <w:rFonts w:ascii="Times New Roman" w:eastAsia="Times New Roman" w:hAnsi="Times New Roman" w:cs="Times New Roman"/>
          <w:color w:val="000000"/>
          <w:sz w:val="22"/>
          <w:szCs w:val="22"/>
        </w:rPr>
        <w:tab/>
        <w:t>Confidence in the safety system;</w:t>
      </w:r>
    </w:p>
    <w:p w14:paraId="358E860F" w14:textId="77777777" w:rsidR="002972A2"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w:t>
      </w:r>
      <w:r>
        <w:rPr>
          <w:rFonts w:ascii="Times New Roman" w:eastAsia="Times New Roman" w:hAnsi="Times New Roman" w:cs="Times New Roman"/>
          <w:color w:val="000000"/>
          <w:sz w:val="22"/>
          <w:szCs w:val="22"/>
        </w:rPr>
        <w:tab/>
        <w:t>A set of documented rules and policies; and</w:t>
      </w:r>
    </w:p>
    <w:p w14:paraId="37B9BAC7" w14:textId="77777777" w:rsidR="002972A2" w:rsidRDefault="00000000">
      <w:pPr>
        <w:pBdr>
          <w:top w:val="nil"/>
          <w:left w:val="nil"/>
          <w:bottom w:val="nil"/>
          <w:right w:val="nil"/>
          <w:between w:val="nil"/>
        </w:pBdr>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g.</w:t>
      </w:r>
      <w:r>
        <w:rPr>
          <w:rFonts w:ascii="Times New Roman" w:eastAsia="Times New Roman" w:hAnsi="Times New Roman" w:cs="Times New Roman"/>
          <w:color w:val="000000"/>
          <w:sz w:val="22"/>
          <w:szCs w:val="22"/>
        </w:rPr>
        <w:tab/>
        <w:t>An effective safety culture. (The culture cannot be effective unless it is embedded within an organization’s own culture).</w:t>
      </w:r>
    </w:p>
    <w:p w14:paraId="6B3F2926" w14:textId="77777777" w:rsidR="002972A2" w:rsidRDefault="002972A2">
      <w:pPr>
        <w:pBdr>
          <w:top w:val="nil"/>
          <w:left w:val="nil"/>
          <w:bottom w:val="nil"/>
          <w:right w:val="nil"/>
          <w:between w:val="nil"/>
        </w:pBdr>
        <w:ind w:left="709"/>
        <w:jc w:val="both"/>
        <w:rPr>
          <w:rFonts w:ascii="Times New Roman" w:eastAsia="Times New Roman" w:hAnsi="Times New Roman" w:cs="Times New Roman"/>
          <w:color w:val="000000"/>
          <w:sz w:val="22"/>
          <w:szCs w:val="22"/>
        </w:rPr>
      </w:pPr>
    </w:p>
    <w:p w14:paraId="711A943B" w14:textId="77777777" w:rsidR="002972A2" w:rsidRDefault="00000000">
      <w:pPr>
        <w:pBdr>
          <w:top w:val="nil"/>
          <w:left w:val="nil"/>
          <w:bottom w:val="nil"/>
          <w:right w:val="nil"/>
          <w:between w:val="nil"/>
        </w:pBdr>
        <w:ind w:left="-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3.3.</w:t>
      </w:r>
      <w:r>
        <w:rPr>
          <w:rFonts w:ascii="Times New Roman" w:eastAsia="Times New Roman" w:hAnsi="Times New Roman" w:cs="Times New Roman"/>
          <w:color w:val="000000"/>
          <w:sz w:val="22"/>
          <w:szCs w:val="22"/>
        </w:rPr>
        <w:tab/>
        <w:t>Organizational culture</w:t>
      </w:r>
    </w:p>
    <w:p w14:paraId="23B59E56" w14:textId="77777777" w:rsidR="002972A2" w:rsidRDefault="002972A2">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0988094F" w14:textId="77777777" w:rsidR="002972A2"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t>The organizational culture refers to the characteristics and safety perceptions among members interacting within a particular entity. The Service Provider organizational value systems include prioritization or balancing policies covering areas such as productivity versus quality, safety versus efficiency, financial versus technical, professional versus academic, and enforcement versus corrective action.</w:t>
      </w:r>
    </w:p>
    <w:p w14:paraId="42D9DACA" w14:textId="77777777" w:rsidR="002972A2" w:rsidRDefault="002972A2">
      <w:pPr>
        <w:pBdr>
          <w:top w:val="nil"/>
          <w:left w:val="nil"/>
          <w:bottom w:val="nil"/>
          <w:right w:val="nil"/>
          <w:between w:val="nil"/>
        </w:pBdr>
        <w:ind w:left="709"/>
        <w:jc w:val="both"/>
        <w:rPr>
          <w:rFonts w:ascii="Times New Roman" w:eastAsia="Times New Roman" w:hAnsi="Times New Roman" w:cs="Times New Roman"/>
          <w:color w:val="000000"/>
          <w:sz w:val="22"/>
          <w:szCs w:val="22"/>
        </w:rPr>
      </w:pPr>
    </w:p>
    <w:p w14:paraId="3AAB4EFA" w14:textId="77777777" w:rsidR="002972A2"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greatest potential for the creation and maintenance of an effective, self-sustaining culture for the management of safety is at the organizational level. The organization is a </w:t>
      </w:r>
      <w:r>
        <w:rPr>
          <w:rFonts w:ascii="Times New Roman" w:eastAsia="Times New Roman" w:hAnsi="Times New Roman" w:cs="Times New Roman"/>
          <w:color w:val="000000"/>
          <w:sz w:val="22"/>
          <w:szCs w:val="22"/>
        </w:rPr>
        <w:lastRenderedPageBreak/>
        <w:t>major determinant of the behaviour in which persons will engage while performing management or operational activities during the delivery or oversight of aviation activities. Organizational culture sets the boundaries for accepted executive and operational performance by establishing the norms and limits. Thus, organizational culture provides a cornerstone for managerial and employee decision making.</w:t>
      </w:r>
    </w:p>
    <w:p w14:paraId="59018D42" w14:textId="77777777" w:rsidR="002972A2" w:rsidRDefault="002972A2">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2B94FEE9" w14:textId="77777777" w:rsidR="002972A2"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Organizational culture has the potential to affect the following:</w:t>
      </w:r>
    </w:p>
    <w:p w14:paraId="0E03F3A2" w14:textId="77777777" w:rsidR="002972A2" w:rsidRDefault="002972A2">
      <w:pPr>
        <w:pBdr>
          <w:top w:val="nil"/>
          <w:left w:val="nil"/>
          <w:bottom w:val="nil"/>
          <w:right w:val="nil"/>
          <w:between w:val="nil"/>
        </w:pBdr>
        <w:ind w:left="709"/>
        <w:jc w:val="both"/>
        <w:rPr>
          <w:rFonts w:ascii="Times New Roman" w:eastAsia="Times New Roman" w:hAnsi="Times New Roman" w:cs="Times New Roman"/>
          <w:color w:val="000000"/>
          <w:sz w:val="22"/>
          <w:szCs w:val="22"/>
        </w:rPr>
      </w:pPr>
    </w:p>
    <w:p w14:paraId="48A6502A" w14:textId="77777777" w:rsidR="002972A2"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rPr>
        <w:tab/>
        <w:t xml:space="preserve">interactions between senior and junior members of a group; </w:t>
      </w:r>
    </w:p>
    <w:p w14:paraId="2F5E2B95" w14:textId="77777777" w:rsidR="002972A2"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w:t>
      </w:r>
      <w:r>
        <w:rPr>
          <w:rFonts w:ascii="Times New Roman" w:eastAsia="Times New Roman" w:hAnsi="Times New Roman" w:cs="Times New Roman"/>
          <w:color w:val="000000"/>
          <w:sz w:val="22"/>
          <w:szCs w:val="22"/>
        </w:rPr>
        <w:tab/>
        <w:t xml:space="preserve">interactions between industry and regulatory authority personnel; </w:t>
      </w:r>
    </w:p>
    <w:p w14:paraId="4ABAC22E" w14:textId="77777777" w:rsidR="002972A2" w:rsidRDefault="00000000">
      <w:pPr>
        <w:pBdr>
          <w:top w:val="nil"/>
          <w:left w:val="nil"/>
          <w:bottom w:val="nil"/>
          <w:right w:val="nil"/>
          <w:between w:val="nil"/>
        </w:pBdr>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w:t>
      </w:r>
      <w:r>
        <w:rPr>
          <w:rFonts w:ascii="Times New Roman" w:eastAsia="Times New Roman" w:hAnsi="Times New Roman" w:cs="Times New Roman"/>
          <w:color w:val="000000"/>
          <w:sz w:val="22"/>
          <w:szCs w:val="22"/>
        </w:rPr>
        <w:tab/>
        <w:t xml:space="preserve">the degree to which information is shared internally and with the regulatory authorities; </w:t>
      </w:r>
    </w:p>
    <w:p w14:paraId="79B82A63" w14:textId="77777777" w:rsidR="002972A2"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w:t>
      </w:r>
      <w:r>
        <w:rPr>
          <w:rFonts w:ascii="Times New Roman" w:eastAsia="Times New Roman" w:hAnsi="Times New Roman" w:cs="Times New Roman"/>
          <w:color w:val="000000"/>
          <w:sz w:val="22"/>
          <w:szCs w:val="22"/>
        </w:rPr>
        <w:tab/>
        <w:t>the prevalence of teamwork in the regulatory authority or industry organization;</w:t>
      </w:r>
    </w:p>
    <w:p w14:paraId="293F0357" w14:textId="77777777" w:rsidR="002972A2"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w:t>
      </w:r>
      <w:r>
        <w:rPr>
          <w:rFonts w:ascii="Times New Roman" w:eastAsia="Times New Roman" w:hAnsi="Times New Roman" w:cs="Times New Roman"/>
          <w:color w:val="000000"/>
          <w:sz w:val="22"/>
          <w:szCs w:val="22"/>
        </w:rPr>
        <w:tab/>
        <w:t xml:space="preserve">reactions of personnel under demanding operational conditions; </w:t>
      </w:r>
    </w:p>
    <w:p w14:paraId="716FDF51" w14:textId="77777777" w:rsidR="002972A2"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w:t>
      </w:r>
      <w:r>
        <w:rPr>
          <w:rFonts w:ascii="Times New Roman" w:eastAsia="Times New Roman" w:hAnsi="Times New Roman" w:cs="Times New Roman"/>
          <w:color w:val="000000"/>
          <w:sz w:val="22"/>
          <w:szCs w:val="22"/>
        </w:rPr>
        <w:tab/>
        <w:t xml:space="preserve">the acceptance and utilization of particular technologies; and </w:t>
      </w:r>
    </w:p>
    <w:p w14:paraId="6BD727E6" w14:textId="77777777" w:rsidR="002972A2" w:rsidRDefault="00000000">
      <w:pPr>
        <w:pBdr>
          <w:top w:val="nil"/>
          <w:left w:val="nil"/>
          <w:bottom w:val="nil"/>
          <w:right w:val="nil"/>
          <w:between w:val="nil"/>
        </w:pBdr>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g.</w:t>
      </w:r>
      <w:r>
        <w:rPr>
          <w:rFonts w:ascii="Times New Roman" w:eastAsia="Times New Roman" w:hAnsi="Times New Roman" w:cs="Times New Roman"/>
          <w:color w:val="000000"/>
          <w:sz w:val="22"/>
          <w:szCs w:val="22"/>
        </w:rPr>
        <w:tab/>
        <w:t>the tendency to take punitive measures in reaction to operational errors within a product or service provider or by the regulatory authorities.</w:t>
      </w:r>
    </w:p>
    <w:p w14:paraId="38229DF6" w14:textId="77777777" w:rsidR="002972A2" w:rsidRDefault="002972A2">
      <w:pPr>
        <w:pBdr>
          <w:top w:val="nil"/>
          <w:left w:val="nil"/>
          <w:bottom w:val="nil"/>
          <w:right w:val="nil"/>
          <w:between w:val="nil"/>
        </w:pBdr>
        <w:ind w:left="709"/>
        <w:jc w:val="both"/>
        <w:rPr>
          <w:rFonts w:ascii="Times New Roman" w:eastAsia="Times New Roman" w:hAnsi="Times New Roman" w:cs="Times New Roman"/>
          <w:color w:val="000000"/>
          <w:sz w:val="22"/>
          <w:szCs w:val="22"/>
        </w:rPr>
      </w:pPr>
    </w:p>
    <w:p w14:paraId="2312C681" w14:textId="77777777" w:rsidR="002972A2"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Organizational culture is also affected by factors such as:</w:t>
      </w:r>
    </w:p>
    <w:p w14:paraId="2255F811" w14:textId="77777777" w:rsidR="002972A2" w:rsidRDefault="002972A2">
      <w:pPr>
        <w:pBdr>
          <w:top w:val="nil"/>
          <w:left w:val="nil"/>
          <w:bottom w:val="nil"/>
          <w:right w:val="nil"/>
          <w:between w:val="nil"/>
        </w:pBdr>
        <w:ind w:left="709"/>
        <w:jc w:val="both"/>
        <w:rPr>
          <w:rFonts w:ascii="Times New Roman" w:eastAsia="Times New Roman" w:hAnsi="Times New Roman" w:cs="Times New Roman"/>
          <w:color w:val="000000"/>
          <w:sz w:val="22"/>
          <w:szCs w:val="22"/>
        </w:rPr>
      </w:pPr>
    </w:p>
    <w:p w14:paraId="571A564D" w14:textId="77777777" w:rsidR="002972A2"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rPr>
        <w:tab/>
        <w:t xml:space="preserve">business policies and procedures; </w:t>
      </w:r>
    </w:p>
    <w:p w14:paraId="286DB5AB" w14:textId="77777777" w:rsidR="002972A2"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w:t>
      </w:r>
      <w:r>
        <w:rPr>
          <w:rFonts w:ascii="Times New Roman" w:eastAsia="Times New Roman" w:hAnsi="Times New Roman" w:cs="Times New Roman"/>
          <w:color w:val="000000"/>
          <w:sz w:val="22"/>
          <w:szCs w:val="22"/>
        </w:rPr>
        <w:tab/>
        <w:t xml:space="preserve">supervisory behaviour and practices; </w:t>
      </w:r>
    </w:p>
    <w:p w14:paraId="13DF37F7" w14:textId="77777777" w:rsidR="002972A2"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w:t>
      </w:r>
      <w:r>
        <w:rPr>
          <w:rFonts w:ascii="Times New Roman" w:eastAsia="Times New Roman" w:hAnsi="Times New Roman" w:cs="Times New Roman"/>
          <w:color w:val="000000"/>
          <w:sz w:val="22"/>
          <w:szCs w:val="22"/>
        </w:rPr>
        <w:tab/>
        <w:t xml:space="preserve">safety improvement goals as well as minimum tolerance levels; </w:t>
      </w:r>
    </w:p>
    <w:p w14:paraId="7572C636" w14:textId="77777777" w:rsidR="002972A2"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w:t>
      </w:r>
      <w:r>
        <w:rPr>
          <w:rFonts w:ascii="Times New Roman" w:eastAsia="Times New Roman" w:hAnsi="Times New Roman" w:cs="Times New Roman"/>
          <w:color w:val="000000"/>
          <w:sz w:val="22"/>
          <w:szCs w:val="22"/>
        </w:rPr>
        <w:tab/>
        <w:t xml:space="preserve">management’s attitude toward quality or safety issues; </w:t>
      </w:r>
    </w:p>
    <w:p w14:paraId="4F2AEA65" w14:textId="77777777" w:rsidR="002972A2"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w:t>
      </w:r>
      <w:r>
        <w:rPr>
          <w:rFonts w:ascii="Times New Roman" w:eastAsia="Times New Roman" w:hAnsi="Times New Roman" w:cs="Times New Roman"/>
          <w:color w:val="000000"/>
          <w:sz w:val="22"/>
          <w:szCs w:val="22"/>
        </w:rPr>
        <w:tab/>
        <w:t xml:space="preserve">employee training and motivation; </w:t>
      </w:r>
    </w:p>
    <w:p w14:paraId="3C6F0A5F" w14:textId="77777777" w:rsidR="002972A2" w:rsidRDefault="00000000">
      <w:pPr>
        <w:pBdr>
          <w:top w:val="nil"/>
          <w:left w:val="nil"/>
          <w:bottom w:val="nil"/>
          <w:right w:val="nil"/>
          <w:between w:val="nil"/>
        </w:pBdr>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w:t>
      </w:r>
      <w:r>
        <w:rPr>
          <w:rFonts w:ascii="Times New Roman" w:eastAsia="Times New Roman" w:hAnsi="Times New Roman" w:cs="Times New Roman"/>
          <w:color w:val="000000"/>
          <w:sz w:val="22"/>
          <w:szCs w:val="22"/>
        </w:rPr>
        <w:tab/>
        <w:t>the relationship between the regulatory authorities and product and service providers; and</w:t>
      </w:r>
    </w:p>
    <w:p w14:paraId="0AEDA4A6" w14:textId="77777777" w:rsidR="002972A2"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g.</w:t>
      </w:r>
      <w:r>
        <w:rPr>
          <w:rFonts w:ascii="Times New Roman" w:eastAsia="Times New Roman" w:hAnsi="Times New Roman" w:cs="Times New Roman"/>
          <w:color w:val="000000"/>
          <w:sz w:val="22"/>
          <w:szCs w:val="22"/>
        </w:rPr>
        <w:tab/>
        <w:t>Policies on work/life balance.</w:t>
      </w:r>
    </w:p>
    <w:p w14:paraId="59D22861" w14:textId="77777777" w:rsidR="002972A2" w:rsidRDefault="002972A2">
      <w:pPr>
        <w:pBdr>
          <w:top w:val="nil"/>
          <w:left w:val="nil"/>
          <w:bottom w:val="nil"/>
          <w:right w:val="nil"/>
          <w:between w:val="nil"/>
        </w:pBdr>
        <w:ind w:left="709"/>
        <w:jc w:val="both"/>
        <w:rPr>
          <w:rFonts w:ascii="Times New Roman" w:eastAsia="Times New Roman" w:hAnsi="Times New Roman" w:cs="Times New Roman"/>
          <w:color w:val="000000"/>
          <w:sz w:val="22"/>
          <w:szCs w:val="22"/>
        </w:rPr>
      </w:pPr>
    </w:p>
    <w:p w14:paraId="6E63F44A" w14:textId="77777777" w:rsidR="002972A2"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way in which management deals with day-to-day safety issues is also fundamental to improving organizational culture. Collaborative interaction between front-line personnel and their safety and quality counterparts, as well as the representatives of the regulatory authority, is indicative of a positive organizational culture. This relationship should be characterized by professional courtesy, while maintaining respective roles as necessary to ensure objectivity or accountability. </w:t>
      </w:r>
    </w:p>
    <w:p w14:paraId="0B9FC009" w14:textId="77777777" w:rsidR="002972A2" w:rsidRDefault="002972A2">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0A96C435" w14:textId="77777777" w:rsidR="002972A2"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An effective way to promote safe operations is to ensure that an organization has developed an environment where all staff feel responsible for safety. This becomes evident when staff consider the impact on safety in everything they do, report all hazards, errors and threats and support the identification and management of all their associated risks. In addition, management must create an environment in which personnel are aware of safety risks, are given sufficient systems to protect themselves and are assured protection when they divulge safety information through the safety reporting system. An effective safety culture serves as a method to synchronize diverse national and professional cultures within the context of the organization.</w:t>
      </w:r>
    </w:p>
    <w:p w14:paraId="54F1DBCD" w14:textId="77777777" w:rsidR="002972A2" w:rsidRDefault="002972A2">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5D8A2A4D" w14:textId="77777777" w:rsidR="002972A2" w:rsidRDefault="00000000">
      <w:pPr>
        <w:pBdr>
          <w:top w:val="nil"/>
          <w:left w:val="nil"/>
          <w:bottom w:val="nil"/>
          <w:right w:val="nil"/>
          <w:between w:val="nil"/>
        </w:pBdr>
        <w:ind w:left="-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3.4</w:t>
      </w:r>
      <w:r>
        <w:rPr>
          <w:rFonts w:ascii="Times New Roman" w:eastAsia="Times New Roman" w:hAnsi="Times New Roman" w:cs="Times New Roman"/>
          <w:color w:val="000000"/>
          <w:sz w:val="22"/>
          <w:szCs w:val="22"/>
        </w:rPr>
        <w:tab/>
        <w:t>Typical culture for a particular nation</w:t>
      </w:r>
    </w:p>
    <w:p w14:paraId="1885BC38" w14:textId="77777777" w:rsidR="002972A2" w:rsidRDefault="002972A2">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5D926790" w14:textId="77777777" w:rsidR="002972A2"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Organizations should understand that national culture differentiates the characteristics of particular nations, including the role of the individual within society, the manner in which authority is distributed, and national priorities with respect to resources, accountabilities, morality, objectives and different legal systems. Therefore, a safety management perspective, national culture plays a large part in determining the nature and scope of regulatory enforcement policies, including the relationship between regulatory authority personnel and industry personnel, and the extent to which safety-related information is protected. Also, organizational culture may therefore be significantly affected by the national cultures present among the members of its workforce.</w:t>
      </w:r>
    </w:p>
    <w:p w14:paraId="549BFA7E" w14:textId="77777777" w:rsidR="002972A2" w:rsidRDefault="002972A2">
      <w:pPr>
        <w:pBdr>
          <w:top w:val="nil"/>
          <w:left w:val="nil"/>
          <w:bottom w:val="nil"/>
          <w:right w:val="nil"/>
          <w:between w:val="nil"/>
        </w:pBdr>
        <w:ind w:left="709"/>
        <w:jc w:val="both"/>
        <w:rPr>
          <w:rFonts w:ascii="Times New Roman" w:eastAsia="Times New Roman" w:hAnsi="Times New Roman" w:cs="Times New Roman"/>
          <w:color w:val="000000"/>
          <w:sz w:val="22"/>
          <w:szCs w:val="22"/>
        </w:rPr>
      </w:pPr>
    </w:p>
    <w:p w14:paraId="7EE5A549" w14:textId="77777777" w:rsidR="002972A2"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When applying a safety management programme, managers might closely assess and consider the differences in the national cultures of their personnel. For instance, safety risk perceptions can differ greatly between different national cultures. Safety-related aspects, including communication and leadership styles as well as the interaction between supervisors and subordinates, may need to accommodate a multicultural workforce.</w:t>
      </w:r>
    </w:p>
    <w:p w14:paraId="4B02E8D7" w14:textId="77777777" w:rsidR="002972A2" w:rsidRDefault="002972A2">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49AB5BBE" w14:textId="77777777" w:rsidR="002972A2" w:rsidRDefault="00000000">
      <w:pPr>
        <w:pBdr>
          <w:top w:val="nil"/>
          <w:left w:val="nil"/>
          <w:bottom w:val="nil"/>
          <w:right w:val="nil"/>
          <w:between w:val="nil"/>
        </w:pBdr>
        <w:ind w:left="-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3.5</w:t>
      </w:r>
      <w:r>
        <w:rPr>
          <w:rFonts w:ascii="Times New Roman" w:eastAsia="Times New Roman" w:hAnsi="Times New Roman" w:cs="Times New Roman"/>
          <w:color w:val="000000"/>
          <w:sz w:val="22"/>
          <w:szCs w:val="22"/>
        </w:rPr>
        <w:tab/>
        <w:t xml:space="preserve">Reporting Culture </w:t>
      </w:r>
    </w:p>
    <w:p w14:paraId="4DEB677B" w14:textId="77777777" w:rsidR="002972A2" w:rsidRDefault="002972A2">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5AEDC342" w14:textId="77777777" w:rsidR="002972A2"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Reporting culture emerges from personnel beliefs about and attitudes toward the benefits and potential detriments associated with reporting systems and the ultimate effect on their acceptance or utilization of such systems. It is greatly influenced by organizational, professional and national cultures and is one criterion for judging the effectiveness of a safety system. A healthy reporting culture aims to differentiate between intentional and unintentional deviations and determine the best course of action for both the organization as a whole and the individuals directly involved. </w:t>
      </w:r>
    </w:p>
    <w:p w14:paraId="6E689231" w14:textId="77777777" w:rsidR="002972A2" w:rsidRDefault="002972A2">
      <w:pPr>
        <w:pBdr>
          <w:top w:val="nil"/>
          <w:left w:val="nil"/>
          <w:bottom w:val="nil"/>
          <w:right w:val="nil"/>
          <w:between w:val="nil"/>
        </w:pBdr>
        <w:ind w:left="709"/>
        <w:jc w:val="both"/>
        <w:rPr>
          <w:rFonts w:ascii="Times New Roman" w:eastAsia="Times New Roman" w:hAnsi="Times New Roman" w:cs="Times New Roman"/>
          <w:color w:val="000000"/>
          <w:sz w:val="22"/>
          <w:szCs w:val="22"/>
        </w:rPr>
      </w:pPr>
    </w:p>
    <w:p w14:paraId="3CBD4C20" w14:textId="77777777" w:rsidR="002972A2"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success of a reporting system depends upon the continuous flow of information from front-line personnel. Policies that distinguish wilful acts of misconduct from inadvertent errors, providing for an appropriate punitive or non-punitive response, are essential to assure the effective reporting of systemic safety deficiencies. While management gains safety information, the system will be ineffective if it interferes with appropriate punitive actions. Conversely, a culture that fails to distinguish unintentional errors/mistakes from acts of wilful misconduct will inhibit the reporting process. If personnel avoid reporting for fear of punishment, management does not gain important safety information.</w:t>
      </w:r>
    </w:p>
    <w:p w14:paraId="451E37E0" w14:textId="77777777" w:rsidR="002972A2" w:rsidRDefault="002972A2">
      <w:pPr>
        <w:pBdr>
          <w:top w:val="nil"/>
          <w:left w:val="nil"/>
          <w:bottom w:val="nil"/>
          <w:right w:val="nil"/>
          <w:between w:val="nil"/>
        </w:pBdr>
        <w:ind w:left="709"/>
        <w:jc w:val="both"/>
        <w:rPr>
          <w:rFonts w:ascii="Times New Roman" w:eastAsia="Times New Roman" w:hAnsi="Times New Roman" w:cs="Times New Roman"/>
          <w:color w:val="000000"/>
          <w:sz w:val="22"/>
          <w:szCs w:val="22"/>
        </w:rPr>
      </w:pPr>
    </w:p>
    <w:p w14:paraId="33525475" w14:textId="77777777" w:rsidR="002972A2"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Overall, personnel must believe that they will be supported in any decisions made in the interest of safety but must also understand that intentional breaches of safety policy will not be tolerated. Therefore, a voluntary reporting system should be confidential and operated in accordance with appropriate non-punitive policies. The system should also provide feedback to personnel on safety improvements achieved as a result of the reports received. This objective requires secure and easy access to safety reporting systems, active safety data collection and management’s proactive treatment of the data.</w:t>
      </w:r>
    </w:p>
    <w:p w14:paraId="787EDC4D" w14:textId="77777777" w:rsidR="002972A2" w:rsidRDefault="002972A2">
      <w:pPr>
        <w:pBdr>
          <w:top w:val="nil"/>
          <w:left w:val="nil"/>
          <w:bottom w:val="nil"/>
          <w:right w:val="nil"/>
          <w:between w:val="nil"/>
        </w:pBdr>
        <w:ind w:left="709"/>
        <w:jc w:val="both"/>
        <w:rPr>
          <w:rFonts w:ascii="Times New Roman" w:eastAsia="Times New Roman" w:hAnsi="Times New Roman" w:cs="Times New Roman"/>
          <w:color w:val="000000"/>
          <w:sz w:val="22"/>
          <w:szCs w:val="22"/>
        </w:rPr>
      </w:pPr>
    </w:p>
    <w:p w14:paraId="35D660F9" w14:textId="77777777" w:rsidR="002972A2"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Safety information should be collected solely for the improvement of aviation safety, and information protection is essential in ensuring the continued availability of information. This may be realized through a safety reporting system that is confidential, voluntary and non-punitive. The benefits are twofold. Often personnel are the closest to safety hazards, so the reporting system enables them to actively identify these hazards. At the same time, management is able to gather pertinent safety hazard information and also build trust with personnel. </w:t>
      </w:r>
    </w:p>
    <w:p w14:paraId="7C52F29E" w14:textId="77777777" w:rsidR="002972A2" w:rsidRDefault="002972A2">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15328027" w14:textId="77777777" w:rsidR="002972A2"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Once the data have been collected and stored, that information must be processed in order to substantiate the implementation of appropriate actions that should be communicated to front-line personnel in a timely manner.</w:t>
      </w:r>
    </w:p>
    <w:p w14:paraId="4D6B093F" w14:textId="77777777" w:rsidR="002972A2" w:rsidRDefault="002972A2">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1E4E8EC1" w14:textId="77777777" w:rsidR="002972A2" w:rsidRDefault="00000000">
      <w:pPr>
        <w:pBdr>
          <w:top w:val="nil"/>
          <w:left w:val="nil"/>
          <w:bottom w:val="nil"/>
          <w:right w:val="nil"/>
          <w:between w:val="nil"/>
        </w:pBdr>
        <w:ind w:left="-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3.6</w:t>
      </w:r>
      <w:r>
        <w:rPr>
          <w:rFonts w:ascii="Times New Roman" w:eastAsia="Times New Roman" w:hAnsi="Times New Roman" w:cs="Times New Roman"/>
          <w:color w:val="000000"/>
          <w:sz w:val="22"/>
          <w:szCs w:val="22"/>
        </w:rPr>
        <w:tab/>
        <w:t xml:space="preserve">Promotion and assessment of a safety culture </w:t>
      </w:r>
    </w:p>
    <w:p w14:paraId="46C745EC" w14:textId="77777777" w:rsidR="002972A2" w:rsidRDefault="002972A2">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65D25755" w14:textId="77777777" w:rsidR="002972A2"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effectiveness of a safety culture can indeed be measured and monitored through the use of tangible metrics. In a mature safety culture environment, it can be anticipated that organizations may be in a position to introduce a mechanism to conduct an internal organization safety culture (OSC) assessment. Such an assessment may be further enhanced using the more technically involved and sector-specific organization risk profile (ORP) assessment. Concurrently, industry organizations and/or regulators may consider developing promotional schemes (e.g. a safety culture award) to encourage product and service providers to participate in a voluntary OSC/ORP assessment of their organizations. The parameters to be assessed in an OSC/ORP assessment should include organizational factors and outcomes that are beyond conventional regulatory requirements, but which are nevertheless pertinent to an organization’s safety culture, and therefore have an impact on its safety performance. This is the main purpose of an OSC/ORP assessment. It serves to supplement traditional regulatory oversight by addressing organizational factors (latent conditions) that are otherwise beyond regulatory purview. An OSC assessment checklist would tend to be more generic in content while an ORP checklist would be more customized to the nature of the organization’s operations. An illustration of a possible sector-specific OSC/ORP assessment checklist is provided in Appendix 1.</w:t>
      </w:r>
    </w:p>
    <w:p w14:paraId="516D4799" w14:textId="77777777" w:rsidR="002972A2" w:rsidRDefault="002972A2">
      <w:pPr>
        <w:pBdr>
          <w:top w:val="nil"/>
          <w:left w:val="nil"/>
          <w:bottom w:val="nil"/>
          <w:right w:val="nil"/>
          <w:between w:val="nil"/>
        </w:pBdr>
        <w:ind w:left="709"/>
        <w:rPr>
          <w:rFonts w:ascii="Times New Roman" w:eastAsia="Times New Roman" w:hAnsi="Times New Roman" w:cs="Times New Roman"/>
          <w:color w:val="000000"/>
          <w:sz w:val="22"/>
          <w:szCs w:val="22"/>
        </w:rPr>
      </w:pPr>
    </w:p>
    <w:p w14:paraId="68608BC0" w14:textId="77777777" w:rsidR="002972A2" w:rsidRDefault="002972A2">
      <w:pPr>
        <w:pBdr>
          <w:top w:val="nil"/>
          <w:left w:val="nil"/>
          <w:bottom w:val="nil"/>
          <w:right w:val="nil"/>
          <w:between w:val="nil"/>
        </w:pBdr>
        <w:ind w:left="720"/>
        <w:rPr>
          <w:rFonts w:ascii="Times New Roman" w:eastAsia="Times New Roman" w:hAnsi="Times New Roman" w:cs="Times New Roman"/>
          <w:color w:val="000000"/>
          <w:sz w:val="22"/>
          <w:szCs w:val="22"/>
        </w:rPr>
      </w:pPr>
    </w:p>
    <w:p w14:paraId="5ADE366A" w14:textId="77777777" w:rsidR="002972A2" w:rsidRDefault="002972A2">
      <w:pPr>
        <w:pBdr>
          <w:top w:val="nil"/>
          <w:left w:val="nil"/>
          <w:bottom w:val="nil"/>
          <w:right w:val="nil"/>
          <w:between w:val="nil"/>
        </w:pBdr>
        <w:ind w:left="720"/>
        <w:rPr>
          <w:rFonts w:ascii="Times New Roman" w:eastAsia="Times New Roman" w:hAnsi="Times New Roman" w:cs="Times New Roman"/>
          <w:color w:val="000000"/>
          <w:sz w:val="22"/>
          <w:szCs w:val="22"/>
        </w:rPr>
      </w:pPr>
    </w:p>
    <w:p w14:paraId="19DA6F68" w14:textId="77777777" w:rsidR="002972A2" w:rsidRDefault="002972A2">
      <w:pPr>
        <w:pBdr>
          <w:top w:val="nil"/>
          <w:left w:val="nil"/>
          <w:bottom w:val="nil"/>
          <w:right w:val="nil"/>
          <w:between w:val="nil"/>
        </w:pBdr>
        <w:ind w:left="720"/>
        <w:rPr>
          <w:rFonts w:ascii="Times New Roman" w:eastAsia="Times New Roman" w:hAnsi="Times New Roman" w:cs="Times New Roman"/>
          <w:color w:val="000000"/>
          <w:sz w:val="22"/>
          <w:szCs w:val="22"/>
        </w:rPr>
      </w:pPr>
    </w:p>
    <w:p w14:paraId="6BF095A9" w14:textId="77777777" w:rsidR="002972A2" w:rsidRDefault="00000000">
      <w:pPr>
        <w:pBdr>
          <w:top w:val="nil"/>
          <w:left w:val="nil"/>
          <w:bottom w:val="nil"/>
          <w:right w:val="nil"/>
          <w:between w:val="nil"/>
        </w:pBdr>
        <w:rPr>
          <w:rFonts w:ascii="Times New Roman" w:eastAsia="Times New Roman" w:hAnsi="Times New Roman" w:cs="Times New Roman"/>
          <w:color w:val="000000"/>
          <w:sz w:val="22"/>
          <w:szCs w:val="22"/>
        </w:rPr>
      </w:pPr>
      <w:r>
        <w:rPr>
          <w:noProof/>
        </w:rPr>
        <w:drawing>
          <wp:anchor distT="0" distB="0" distL="114300" distR="114300" simplePos="0" relativeHeight="251658240" behindDoc="0" locked="0" layoutInCell="1" hidden="0" allowOverlap="1" wp14:anchorId="6B9F6328" wp14:editId="5CABDE48">
            <wp:simplePos x="0" y="0"/>
            <wp:positionH relativeFrom="column">
              <wp:posOffset>470534</wp:posOffset>
            </wp:positionH>
            <wp:positionV relativeFrom="paragraph">
              <wp:posOffset>5080</wp:posOffset>
            </wp:positionV>
            <wp:extent cx="1400810" cy="586740"/>
            <wp:effectExtent l="0" t="0" r="0" b="0"/>
            <wp:wrapNone/>
            <wp:docPr id="103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1400810" cy="586740"/>
                    </a:xfrm>
                    <a:prstGeom prst="rect">
                      <a:avLst/>
                    </a:prstGeom>
                    <a:ln/>
                  </pic:spPr>
                </pic:pic>
              </a:graphicData>
            </a:graphic>
          </wp:anchor>
        </w:drawing>
      </w:r>
    </w:p>
    <w:p w14:paraId="07AA6D08" w14:textId="77777777" w:rsidR="002972A2"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14:paraId="30259078" w14:textId="77777777" w:rsidR="002972A2"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14:paraId="2C2406CA" w14:textId="77777777" w:rsidR="002972A2" w:rsidRDefault="00000000">
      <w:pPr>
        <w:pBdr>
          <w:top w:val="nil"/>
          <w:left w:val="nil"/>
          <w:bottom w:val="nil"/>
          <w:right w:val="nil"/>
          <w:between w:val="nil"/>
        </w:pBdr>
        <w:ind w:left="7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____________________</w:t>
      </w:r>
    </w:p>
    <w:p w14:paraId="7D2539E3" w14:textId="77777777" w:rsidR="002972A2"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r>
        <w:rPr>
          <w:rFonts w:ascii="Times New Roman" w:eastAsia="Times New Roman" w:hAnsi="Times New Roman" w:cs="Times New Roman"/>
          <w:b/>
          <w:bCs/>
          <w:sz w:val="22"/>
          <w:szCs w:val="22"/>
        </w:rPr>
        <w:t>Director Safety Regulation</w:t>
      </w:r>
    </w:p>
    <w:p w14:paraId="182AB6BF" w14:textId="77777777" w:rsidR="002972A2"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p w14:paraId="39B18BD6" w14:textId="77777777" w:rsidR="002972A2" w:rsidRDefault="002972A2">
      <w:pPr>
        <w:ind w:left="720" w:hanging="720"/>
        <w:rPr>
          <w:rFonts w:ascii="Times New Roman" w:eastAsia="Times New Roman" w:hAnsi="Times New Roman" w:cs="Times New Roman"/>
          <w:sz w:val="22"/>
          <w:szCs w:val="22"/>
        </w:rPr>
      </w:pPr>
    </w:p>
    <w:p w14:paraId="6B4E7166" w14:textId="77777777" w:rsidR="002972A2" w:rsidRDefault="002972A2">
      <w:pPr>
        <w:ind w:left="720" w:hanging="720"/>
        <w:rPr>
          <w:rFonts w:ascii="Times New Roman" w:eastAsia="Times New Roman" w:hAnsi="Times New Roman" w:cs="Times New Roman"/>
          <w:sz w:val="22"/>
          <w:szCs w:val="22"/>
        </w:rPr>
      </w:pPr>
    </w:p>
    <w:p w14:paraId="3B613C08" w14:textId="77777777" w:rsidR="002972A2" w:rsidRDefault="002972A2">
      <w:pPr>
        <w:ind w:left="720" w:hanging="720"/>
        <w:rPr>
          <w:rFonts w:ascii="Times New Roman" w:eastAsia="Times New Roman" w:hAnsi="Times New Roman" w:cs="Times New Roman"/>
          <w:sz w:val="22"/>
          <w:szCs w:val="22"/>
        </w:rPr>
      </w:pPr>
    </w:p>
    <w:p w14:paraId="1C48E0FD" w14:textId="77777777" w:rsidR="002972A2" w:rsidRDefault="002972A2">
      <w:pPr>
        <w:ind w:left="720" w:hanging="720"/>
        <w:jc w:val="center"/>
        <w:rPr>
          <w:rFonts w:ascii="Times New Roman" w:eastAsia="Times New Roman" w:hAnsi="Times New Roman" w:cs="Times New Roman"/>
          <w:sz w:val="22"/>
          <w:szCs w:val="22"/>
        </w:rPr>
      </w:pPr>
    </w:p>
    <w:p w14:paraId="32EC1AD5" w14:textId="77777777" w:rsidR="002972A2" w:rsidRDefault="002972A2">
      <w:pPr>
        <w:ind w:left="720" w:hanging="720"/>
        <w:jc w:val="center"/>
        <w:rPr>
          <w:rFonts w:ascii="Times New Roman" w:eastAsia="Times New Roman" w:hAnsi="Times New Roman" w:cs="Times New Roman"/>
          <w:sz w:val="22"/>
          <w:szCs w:val="22"/>
        </w:rPr>
      </w:pPr>
    </w:p>
    <w:p w14:paraId="26CE3DD0" w14:textId="77777777" w:rsidR="002972A2" w:rsidRDefault="002972A2">
      <w:pPr>
        <w:ind w:left="720" w:hanging="720"/>
        <w:jc w:val="center"/>
        <w:rPr>
          <w:rFonts w:ascii="Times New Roman" w:eastAsia="Times New Roman" w:hAnsi="Times New Roman" w:cs="Times New Roman"/>
          <w:sz w:val="22"/>
          <w:szCs w:val="22"/>
        </w:rPr>
      </w:pPr>
    </w:p>
    <w:p w14:paraId="512625A2" w14:textId="77777777" w:rsidR="002972A2" w:rsidRDefault="002972A2">
      <w:pPr>
        <w:ind w:left="720" w:hanging="720"/>
        <w:jc w:val="center"/>
        <w:rPr>
          <w:rFonts w:ascii="Times New Roman" w:eastAsia="Times New Roman" w:hAnsi="Times New Roman" w:cs="Times New Roman"/>
          <w:sz w:val="22"/>
          <w:szCs w:val="22"/>
        </w:rPr>
      </w:pPr>
    </w:p>
    <w:p w14:paraId="3F7EA639" w14:textId="77777777" w:rsidR="002972A2" w:rsidRDefault="00000000">
      <w:pPr>
        <w:ind w:left="720" w:hanging="720"/>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APPENDIX 1</w:t>
      </w:r>
    </w:p>
    <w:p w14:paraId="78BBA189" w14:textId="77777777" w:rsidR="002972A2" w:rsidRDefault="002972A2">
      <w:pPr>
        <w:ind w:left="720" w:hanging="720"/>
        <w:rPr>
          <w:rFonts w:ascii="Times New Roman" w:eastAsia="Times New Roman" w:hAnsi="Times New Roman" w:cs="Times New Roman"/>
          <w:sz w:val="22"/>
          <w:szCs w:val="22"/>
        </w:rPr>
      </w:pPr>
    </w:p>
    <w:p w14:paraId="5130F3E3" w14:textId="77777777" w:rsidR="002972A2"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RISK ASSESSMENT CHECKLIST</w:t>
      </w:r>
    </w:p>
    <w:p w14:paraId="5E0933B0" w14:textId="77777777" w:rsidR="002972A2" w:rsidRDefault="002972A2">
      <w:pPr>
        <w:ind w:left="720" w:hanging="720"/>
        <w:rPr>
          <w:rFonts w:ascii="Times New Roman" w:eastAsia="Times New Roman" w:hAnsi="Times New Roman" w:cs="Times New Roman"/>
          <w:sz w:val="22"/>
          <w:szCs w:val="22"/>
        </w:rPr>
      </w:pPr>
    </w:p>
    <w:p w14:paraId="2210DA2E" w14:textId="77777777" w:rsidR="002972A2" w:rsidRDefault="00000000">
      <w:pPr>
        <w:ind w:left="720" w:hanging="7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Note-This OSC/ORP assessment checklist is a conceptual illustration only. The illustrated thirty-seven parameters are not comprehensive and are applicable for a service provider organization. Customization of these parameters for assessment of other service provider types would be necessary. The annotated result scores are purely illustrative. This OSC/ORP assessment should be conducted on a voluntary basis in view of organization culture/profile parameters which are beyond normal regulatory purview.</w:t>
      </w:r>
    </w:p>
    <w:p w14:paraId="7B8ED81F" w14:textId="77777777" w:rsidR="002972A2" w:rsidRDefault="002972A2">
      <w:pPr>
        <w:ind w:left="720" w:hanging="720"/>
        <w:rPr>
          <w:rFonts w:ascii="Times New Roman" w:eastAsia="Times New Roman" w:hAnsi="Times New Roman" w:cs="Times New Roman"/>
          <w:sz w:val="22"/>
          <w:szCs w:val="22"/>
        </w:rPr>
      </w:pPr>
    </w:p>
    <w:p w14:paraId="32060D0E" w14:textId="77777777" w:rsidR="002972A2" w:rsidRDefault="00000000">
      <w:pPr>
        <w:ind w:left="720" w:hanging="720"/>
        <w:rPr>
          <w:rFonts w:ascii="Times New Roman" w:eastAsia="Times New Roman" w:hAnsi="Times New Roman" w:cs="Times New Roman"/>
          <w:sz w:val="22"/>
          <w:szCs w:val="22"/>
        </w:rPr>
      </w:pPr>
      <w:r>
        <w:rPr>
          <w:noProof/>
        </w:rPr>
        <w:drawing>
          <wp:anchor distT="0" distB="0" distL="114300" distR="114300" simplePos="0" relativeHeight="251659264" behindDoc="0" locked="0" layoutInCell="1" hidden="0" allowOverlap="1" wp14:anchorId="487B4799" wp14:editId="3C769173">
            <wp:simplePos x="0" y="0"/>
            <wp:positionH relativeFrom="column">
              <wp:posOffset>1</wp:posOffset>
            </wp:positionH>
            <wp:positionV relativeFrom="paragraph">
              <wp:posOffset>0</wp:posOffset>
            </wp:positionV>
            <wp:extent cx="5828030" cy="3711575"/>
            <wp:effectExtent l="0" t="0" r="0" b="0"/>
            <wp:wrapNone/>
            <wp:docPr id="103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9"/>
                    <a:srcRect/>
                    <a:stretch>
                      <a:fillRect/>
                    </a:stretch>
                  </pic:blipFill>
                  <pic:spPr>
                    <a:xfrm>
                      <a:off x="0" y="0"/>
                      <a:ext cx="5828030" cy="3711575"/>
                    </a:xfrm>
                    <a:prstGeom prst="rect">
                      <a:avLst/>
                    </a:prstGeom>
                    <a:ln/>
                  </pic:spPr>
                </pic:pic>
              </a:graphicData>
            </a:graphic>
          </wp:anchor>
        </w:drawing>
      </w:r>
    </w:p>
    <w:p w14:paraId="2D2FAC3A" w14:textId="77777777" w:rsidR="002972A2" w:rsidRDefault="002972A2">
      <w:pPr>
        <w:ind w:left="720" w:hanging="720"/>
        <w:rPr>
          <w:rFonts w:ascii="Times New Roman" w:eastAsia="Times New Roman" w:hAnsi="Times New Roman" w:cs="Times New Roman"/>
          <w:sz w:val="22"/>
          <w:szCs w:val="22"/>
        </w:rPr>
      </w:pPr>
    </w:p>
    <w:p w14:paraId="18EEF441" w14:textId="77777777" w:rsidR="002972A2" w:rsidRDefault="00000000">
      <w:pPr>
        <w:ind w:left="720" w:hanging="720"/>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114300" distR="114300" wp14:anchorId="2BB6AC97" wp14:editId="1A07DF18">
            <wp:extent cx="5763895" cy="6297930"/>
            <wp:effectExtent l="0" t="0" r="0" b="0"/>
            <wp:docPr id="103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a:stretch>
                      <a:fillRect/>
                    </a:stretch>
                  </pic:blipFill>
                  <pic:spPr>
                    <a:xfrm>
                      <a:off x="0" y="0"/>
                      <a:ext cx="5763895" cy="6297930"/>
                    </a:xfrm>
                    <a:prstGeom prst="rect">
                      <a:avLst/>
                    </a:prstGeom>
                    <a:ln/>
                  </pic:spPr>
                </pic:pic>
              </a:graphicData>
            </a:graphic>
          </wp:inline>
        </w:drawing>
      </w:r>
    </w:p>
    <w:p w14:paraId="221D2A85" w14:textId="77777777" w:rsidR="002972A2" w:rsidRDefault="002972A2">
      <w:pPr>
        <w:ind w:left="720" w:hanging="720"/>
        <w:rPr>
          <w:rFonts w:ascii="Times New Roman" w:eastAsia="Times New Roman" w:hAnsi="Times New Roman" w:cs="Times New Roman"/>
        </w:rPr>
      </w:pPr>
    </w:p>
    <w:p w14:paraId="53F5000A" w14:textId="77777777" w:rsidR="002972A2"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noProof/>
        </w:rPr>
        <w:lastRenderedPageBreak/>
        <w:drawing>
          <wp:inline distT="0" distB="0" distL="114300" distR="114300" wp14:anchorId="3B066513" wp14:editId="7F605D12">
            <wp:extent cx="5758815" cy="5551170"/>
            <wp:effectExtent l="0" t="0" r="0" b="0"/>
            <wp:docPr id="103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5758815" cy="5551170"/>
                    </a:xfrm>
                    <a:prstGeom prst="rect">
                      <a:avLst/>
                    </a:prstGeom>
                    <a:ln/>
                  </pic:spPr>
                </pic:pic>
              </a:graphicData>
            </a:graphic>
          </wp:inline>
        </w:drawing>
      </w:r>
    </w:p>
    <w:p w14:paraId="790F63A9" w14:textId="77777777" w:rsidR="002972A2" w:rsidRDefault="002972A2">
      <w:pPr>
        <w:rPr>
          <w:rFonts w:ascii="Times New Roman" w:eastAsia="Times New Roman" w:hAnsi="Times New Roman" w:cs="Times New Roman"/>
          <w:sz w:val="22"/>
          <w:szCs w:val="22"/>
        </w:rPr>
      </w:pPr>
    </w:p>
    <w:p w14:paraId="5E6F370A" w14:textId="77777777" w:rsidR="002972A2" w:rsidRDefault="00000000">
      <w:pPr>
        <w:rPr>
          <w:rFonts w:ascii="Times New Roman" w:eastAsia="Times New Roman" w:hAnsi="Times New Roman" w:cs="Times New Roman"/>
          <w:sz w:val="22"/>
          <w:szCs w:val="22"/>
        </w:rPr>
      </w:pPr>
      <w:r>
        <w:rPr>
          <w:rFonts w:ascii="Times New Roman" w:eastAsia="Times New Roman" w:hAnsi="Times New Roman" w:cs="Times New Roman"/>
          <w:noProof/>
        </w:rPr>
        <w:lastRenderedPageBreak/>
        <w:drawing>
          <wp:inline distT="0" distB="0" distL="114300" distR="114300" wp14:anchorId="2EDF6D35" wp14:editId="4C6D52DC">
            <wp:extent cx="5761355" cy="5777230"/>
            <wp:effectExtent l="0" t="0" r="0" b="0"/>
            <wp:docPr id="103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5761355" cy="5777230"/>
                    </a:xfrm>
                    <a:prstGeom prst="rect">
                      <a:avLst/>
                    </a:prstGeom>
                    <a:ln/>
                  </pic:spPr>
                </pic:pic>
              </a:graphicData>
            </a:graphic>
          </wp:inline>
        </w:drawing>
      </w:r>
    </w:p>
    <w:sectPr w:rsidR="002972A2">
      <w:headerReference w:type="default" r:id="rId13"/>
      <w:footerReference w:type="even" r:id="rId14"/>
      <w:footerReference w:type="default" r:id="rId15"/>
      <w:pgSz w:w="12240" w:h="15840"/>
      <w:pgMar w:top="1361" w:right="1797" w:bottom="1440" w:left="1797" w:header="576"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46E9C" w14:textId="77777777" w:rsidR="00C27197" w:rsidRDefault="00C27197">
      <w:r>
        <w:separator/>
      </w:r>
    </w:p>
  </w:endnote>
  <w:endnote w:type="continuationSeparator" w:id="0">
    <w:p w14:paraId="2AFD7FB7" w14:textId="77777777" w:rsidR="00C27197" w:rsidRDefault="00C271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ms Rmn">
    <w:panose1 w:val="02020603040505020304"/>
    <w:charset w:val="00"/>
    <w:family w:val="roman"/>
    <w:pitch w:val="variable"/>
    <w:sig w:usb0="00000003" w:usb1="00000000" w:usb2="00000000" w:usb3="00000000" w:csb0="00000001" w:csb1="00000000"/>
  </w:font>
  <w:font w:name="Tahoma">
    <w:panose1 w:val="020B0604030504040204"/>
    <w:charset w:val="00"/>
    <w:family w:val="roman"/>
    <w:notTrueType/>
    <w:pitch w:val="default"/>
    <w:embedRegular r:id="rId1" w:fontKey="{9D639FB2-8F9E-4E52-82EA-930C070FC789}"/>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3D9E85A6-F2A5-4A67-9CCC-B45468736C30}"/>
  </w:font>
  <w:font w:name="Arial Black">
    <w:panose1 w:val="020B0A04020102020204"/>
    <w:charset w:val="00"/>
    <w:family w:val="swiss"/>
    <w:pitch w:val="variable"/>
    <w:sig w:usb0="A00002AF" w:usb1="400078FB" w:usb2="00000000" w:usb3="00000000" w:csb0="0000009F" w:csb1="00000000"/>
    <w:embedRegular r:id="rId3" w:fontKey="{7EF1FF74-6C8D-42B1-87F5-BDC57C7DE5FB}"/>
  </w:font>
  <w:font w:name="Calibri">
    <w:panose1 w:val="020F0502020204030204"/>
    <w:charset w:val="00"/>
    <w:family w:val="swiss"/>
    <w:pitch w:val="variable"/>
    <w:sig w:usb0="E4002EFF" w:usb1="C200247B" w:usb2="00000009" w:usb3="00000000" w:csb0="000001FF" w:csb1="00000000"/>
    <w:embedRegular r:id="rId4" w:fontKey="{C3E71982-30EA-4C61-AB48-728B115D4C74}"/>
  </w:font>
  <w:font w:name="Cambria">
    <w:panose1 w:val="02040503050406030204"/>
    <w:charset w:val="00"/>
    <w:family w:val="roman"/>
    <w:pitch w:val="variable"/>
    <w:sig w:usb0="E00006FF" w:usb1="420024FF" w:usb2="02000000" w:usb3="00000000" w:csb0="0000019F" w:csb1="00000000"/>
    <w:embedRegular r:id="rId5" w:fontKey="{523DB16F-C191-42DC-866A-07781152914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9195B" w14:textId="77777777" w:rsidR="002972A2"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55BE7BB8" w14:textId="77777777" w:rsidR="002972A2" w:rsidRDefault="002972A2">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B78D3" w14:textId="77777777" w:rsidR="002972A2" w:rsidRDefault="002972A2">
    <w:pPr>
      <w:widowControl w:val="0"/>
      <w:pBdr>
        <w:top w:val="nil"/>
        <w:left w:val="nil"/>
        <w:bottom w:val="nil"/>
        <w:right w:val="nil"/>
        <w:between w:val="nil"/>
      </w:pBdr>
      <w:spacing w:line="276" w:lineRule="auto"/>
      <w:rPr>
        <w:color w:val="000000"/>
      </w:rPr>
    </w:pPr>
  </w:p>
  <w:tbl>
    <w:tblPr>
      <w:tblStyle w:val="a0"/>
      <w:tblW w:w="97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7"/>
      <w:gridCol w:w="3454"/>
      <w:gridCol w:w="3057"/>
    </w:tblGrid>
    <w:tr w:rsidR="002972A2" w14:paraId="2679F9FD" w14:textId="77777777">
      <w:trPr>
        <w:tblHeader/>
        <w:jc w:val="center"/>
      </w:trPr>
      <w:tc>
        <w:tcPr>
          <w:tcW w:w="3267" w:type="dxa"/>
        </w:tcPr>
        <w:p w14:paraId="1D370913" w14:textId="77777777" w:rsidR="002972A2" w:rsidRDefault="00000000">
          <w:pPr>
            <w:pBdr>
              <w:top w:val="nil"/>
              <w:left w:val="nil"/>
              <w:bottom w:val="nil"/>
              <w:right w:val="nil"/>
              <w:between w:val="nil"/>
            </w:pBdr>
            <w:tabs>
              <w:tab w:val="center" w:pos="4320"/>
              <w:tab w:val="right" w:pos="8640"/>
            </w:tabs>
            <w:rPr>
              <w:color w:val="000000"/>
              <w:sz w:val="20"/>
              <w:szCs w:val="20"/>
            </w:rPr>
          </w:pPr>
          <w:bookmarkStart w:id="0" w:name="_heading=h.dlxsn5vylmj4" w:colFirst="0" w:colLast="0"/>
          <w:bookmarkEnd w:id="0"/>
          <w:r>
            <w:rPr>
              <w:color w:val="000000"/>
              <w:sz w:val="20"/>
              <w:szCs w:val="20"/>
            </w:rPr>
            <w:t>TCAA-AC-GEN018A</w:t>
          </w:r>
        </w:p>
      </w:tc>
      <w:tc>
        <w:tcPr>
          <w:tcW w:w="3454" w:type="dxa"/>
        </w:tcPr>
        <w:p w14:paraId="6363F03F" w14:textId="77777777" w:rsidR="002972A2" w:rsidRDefault="00000000">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September 2025</w:t>
          </w:r>
        </w:p>
      </w:tc>
      <w:tc>
        <w:tcPr>
          <w:tcW w:w="3057" w:type="dxa"/>
        </w:tcPr>
        <w:p w14:paraId="0C0492A2" w14:textId="77777777" w:rsidR="002972A2" w:rsidRDefault="00000000">
          <w:pPr>
            <w:pBdr>
              <w:top w:val="nil"/>
              <w:left w:val="nil"/>
              <w:bottom w:val="nil"/>
              <w:right w:val="nil"/>
              <w:between w:val="nil"/>
            </w:pBdr>
            <w:jc w:val="right"/>
            <w:rPr>
              <w:color w:val="000000"/>
              <w:sz w:val="20"/>
              <w:szCs w:val="20"/>
            </w:rPr>
          </w:pPr>
          <w:r>
            <w:rPr>
              <w:color w:val="000000"/>
              <w:sz w:val="20"/>
              <w:szCs w:val="20"/>
            </w:rPr>
            <w:t xml:space="preserve">Page </w:t>
          </w:r>
          <w:r>
            <w:rPr>
              <w:color w:val="000000"/>
              <w:sz w:val="20"/>
              <w:szCs w:val="20"/>
            </w:rPr>
            <w:fldChar w:fldCharType="begin"/>
          </w:r>
          <w:r>
            <w:rPr>
              <w:color w:val="000000"/>
              <w:sz w:val="20"/>
              <w:szCs w:val="20"/>
            </w:rPr>
            <w:instrText>PAGE</w:instrText>
          </w:r>
          <w:r>
            <w:rPr>
              <w:color w:val="000000"/>
              <w:sz w:val="20"/>
              <w:szCs w:val="20"/>
            </w:rPr>
            <w:fldChar w:fldCharType="separate"/>
          </w:r>
          <w:r w:rsidR="00BA7C6E">
            <w:rPr>
              <w:noProof/>
              <w:color w:val="000000"/>
              <w:sz w:val="20"/>
              <w:szCs w:val="20"/>
            </w:rPr>
            <w:t>1</w:t>
          </w:r>
          <w:r>
            <w:rPr>
              <w:color w:val="000000"/>
              <w:sz w:val="20"/>
              <w:szCs w:val="20"/>
            </w:rPr>
            <w:fldChar w:fldCharType="end"/>
          </w:r>
          <w:r>
            <w:rPr>
              <w:color w:val="000000"/>
              <w:sz w:val="20"/>
              <w:szCs w:val="20"/>
            </w:rPr>
            <w:t xml:space="preserve"> of </w:t>
          </w:r>
          <w:r>
            <w:rPr>
              <w:color w:val="000000"/>
              <w:sz w:val="20"/>
              <w:szCs w:val="20"/>
            </w:rPr>
            <w:fldChar w:fldCharType="begin"/>
          </w:r>
          <w:r>
            <w:rPr>
              <w:color w:val="000000"/>
              <w:sz w:val="20"/>
              <w:szCs w:val="20"/>
            </w:rPr>
            <w:instrText>NUMPAGES</w:instrText>
          </w:r>
          <w:r>
            <w:rPr>
              <w:color w:val="000000"/>
              <w:sz w:val="20"/>
              <w:szCs w:val="20"/>
            </w:rPr>
            <w:fldChar w:fldCharType="separate"/>
          </w:r>
          <w:r w:rsidR="00BA7C6E">
            <w:rPr>
              <w:noProof/>
              <w:color w:val="000000"/>
              <w:sz w:val="20"/>
              <w:szCs w:val="20"/>
            </w:rPr>
            <w:t>2</w:t>
          </w:r>
          <w:r>
            <w:rPr>
              <w:color w:val="000000"/>
              <w:sz w:val="20"/>
              <w:szCs w:val="20"/>
            </w:rPr>
            <w:fldChar w:fldCharType="end"/>
          </w:r>
        </w:p>
      </w:tc>
    </w:tr>
  </w:tbl>
  <w:p w14:paraId="30782E09" w14:textId="77777777" w:rsidR="002972A2" w:rsidRDefault="002972A2">
    <w:pPr>
      <w:pBdr>
        <w:top w:val="nil"/>
        <w:left w:val="nil"/>
        <w:bottom w:val="nil"/>
        <w:right w:val="nil"/>
        <w:between w:val="nil"/>
      </w:pBdr>
      <w:tabs>
        <w:tab w:val="center" w:pos="4320"/>
        <w:tab w:val="right" w:pos="8640"/>
      </w:tabs>
      <w:rPr>
        <w:color w:val="000000"/>
        <w:sz w:val="28"/>
        <w:szCs w:val="28"/>
      </w:rPr>
    </w:pPr>
  </w:p>
  <w:p w14:paraId="0D8AE1EB" w14:textId="77777777" w:rsidR="002972A2" w:rsidRDefault="002972A2">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A9C26" w14:textId="77777777" w:rsidR="00C27197" w:rsidRDefault="00C27197">
      <w:r>
        <w:separator/>
      </w:r>
    </w:p>
  </w:footnote>
  <w:footnote w:type="continuationSeparator" w:id="0">
    <w:p w14:paraId="596C16D6" w14:textId="77777777" w:rsidR="00C27197" w:rsidRDefault="00C271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86C2D" w14:textId="77777777" w:rsidR="002972A2" w:rsidRDefault="002972A2">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bl>
    <w:tblPr>
      <w:tblStyle w:val="a"/>
      <w:tblW w:w="11051" w:type="dxa"/>
      <w:tblInd w:w="-13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70"/>
      <w:gridCol w:w="4880"/>
      <w:gridCol w:w="2701"/>
    </w:tblGrid>
    <w:tr w:rsidR="002972A2" w14:paraId="21739B8B" w14:textId="77777777">
      <w:trPr>
        <w:trHeight w:val="1049"/>
      </w:trPr>
      <w:tc>
        <w:tcPr>
          <w:tcW w:w="3470" w:type="dxa"/>
        </w:tcPr>
        <w:p w14:paraId="082AC402" w14:textId="77777777" w:rsidR="002972A2" w:rsidRDefault="00000000">
          <w:pPr>
            <w:pBdr>
              <w:top w:val="nil"/>
              <w:left w:val="nil"/>
              <w:bottom w:val="nil"/>
              <w:right w:val="nil"/>
              <w:between w:val="nil"/>
            </w:pBdr>
            <w:spacing w:line="360" w:lineRule="auto"/>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0"/>
              <w:szCs w:val="20"/>
            </w:rPr>
            <w:drawing>
              <wp:inline distT="0" distB="0" distL="114300" distR="114300" wp14:anchorId="557795AE" wp14:editId="67B61F22">
                <wp:extent cx="1143635" cy="594360"/>
                <wp:effectExtent l="0" t="0" r="0" b="0"/>
                <wp:docPr id="1033" name="image1.png" descr="A blue and orange logo&#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blue and orange logo&#10;&#10;AI-generated content may be incorrect."/>
                        <pic:cNvPicPr preferRelativeResize="0"/>
                      </pic:nvPicPr>
                      <pic:blipFill>
                        <a:blip r:embed="rId1"/>
                        <a:srcRect/>
                        <a:stretch>
                          <a:fillRect/>
                        </a:stretch>
                      </pic:blipFill>
                      <pic:spPr>
                        <a:xfrm>
                          <a:off x="0" y="0"/>
                          <a:ext cx="1143635" cy="594360"/>
                        </a:xfrm>
                        <a:prstGeom prst="rect">
                          <a:avLst/>
                        </a:prstGeom>
                        <a:ln/>
                      </pic:spPr>
                    </pic:pic>
                  </a:graphicData>
                </a:graphic>
              </wp:inline>
            </w:drawing>
          </w:r>
        </w:p>
      </w:tc>
      <w:tc>
        <w:tcPr>
          <w:tcW w:w="4880" w:type="dxa"/>
        </w:tcPr>
        <w:p w14:paraId="6BAE230B" w14:textId="77777777" w:rsidR="002972A2"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TANZANIA CIVIL AVIATION AUTHORITY</w:t>
          </w:r>
        </w:p>
        <w:p w14:paraId="12833E2E" w14:textId="77777777" w:rsidR="002972A2"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DIRECTORATE OF SAFETY REGULATIONS</w:t>
          </w:r>
        </w:p>
      </w:tc>
      <w:tc>
        <w:tcPr>
          <w:tcW w:w="2701" w:type="dxa"/>
          <w:shd w:val="clear" w:color="auto" w:fill="CFE2F3"/>
        </w:tcPr>
        <w:p w14:paraId="4FF534D0" w14:textId="77777777" w:rsidR="002972A2"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Revision: 1</w:t>
          </w:r>
        </w:p>
        <w:p w14:paraId="0CF8020E" w14:textId="77777777" w:rsidR="002972A2" w:rsidRDefault="00000000">
          <w:pPr>
            <w:jc w:val="center"/>
            <w:rPr>
              <w:rFonts w:ascii="Arial Black" w:eastAsia="Arial Black" w:hAnsi="Arial Black" w:cs="Arial Black"/>
            </w:rPr>
          </w:pPr>
          <w:r>
            <w:rPr>
              <w:rFonts w:ascii="Arial Black" w:eastAsia="Arial Black" w:hAnsi="Arial Black" w:cs="Arial Black"/>
            </w:rPr>
            <w:t>Advisory Circular</w:t>
          </w:r>
        </w:p>
      </w:tc>
    </w:tr>
    <w:tr w:rsidR="002972A2" w14:paraId="44B78973" w14:textId="77777777">
      <w:trPr>
        <w:trHeight w:val="338"/>
      </w:trPr>
      <w:tc>
        <w:tcPr>
          <w:tcW w:w="3470" w:type="dxa"/>
          <w:shd w:val="clear" w:color="auto" w:fill="CFE2F3"/>
        </w:tcPr>
        <w:p w14:paraId="6B22EFC5" w14:textId="77777777" w:rsidR="002972A2" w:rsidRDefault="00000000">
          <w:pPr>
            <w:pBdr>
              <w:top w:val="nil"/>
              <w:left w:val="nil"/>
              <w:bottom w:val="nil"/>
              <w:right w:val="nil"/>
              <w:between w:val="nil"/>
            </w:pBdr>
            <w:spacing w:after="60"/>
            <w:rPr>
              <w:rFonts w:ascii="Times New Roman" w:eastAsia="Times New Roman" w:hAnsi="Times New Roman" w:cs="Times New Roman"/>
              <w:color w:val="000000"/>
            </w:rPr>
          </w:pPr>
          <w:r>
            <w:rPr>
              <w:rFonts w:ascii="Times New Roman" w:eastAsia="Times New Roman" w:hAnsi="Times New Roman" w:cs="Times New Roman"/>
              <w:b/>
              <w:bCs/>
              <w:color w:val="000000"/>
            </w:rPr>
            <w:t>Doc No: TCAA-AC-GEN018A</w:t>
          </w:r>
        </w:p>
      </w:tc>
      <w:tc>
        <w:tcPr>
          <w:tcW w:w="4880" w:type="dxa"/>
          <w:shd w:val="clear" w:color="auto" w:fill="CFE2F3"/>
        </w:tcPr>
        <w:p w14:paraId="36555553" w14:textId="77777777" w:rsidR="002972A2" w:rsidRDefault="00000000">
          <w:pPr>
            <w:pBdr>
              <w:top w:val="single" w:sz="18" w:space="1" w:color="000000"/>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Title: ORGANIZATION SAFETY CULTURE</w:t>
          </w:r>
        </w:p>
      </w:tc>
      <w:tc>
        <w:tcPr>
          <w:tcW w:w="2701" w:type="dxa"/>
          <w:shd w:val="clear" w:color="auto" w:fill="CFE2F3"/>
        </w:tcPr>
        <w:p w14:paraId="02B71544" w14:textId="77777777" w:rsidR="002972A2"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Page </w:t>
          </w:r>
          <w:r>
            <w:rPr>
              <w:rFonts w:ascii="Times New Roman" w:eastAsia="Times New Roman" w:hAnsi="Times New Roman" w:cs="Times New Roman"/>
              <w:b/>
              <w:bCs/>
              <w:color w:val="000000"/>
              <w:sz w:val="20"/>
              <w:szCs w:val="20"/>
            </w:rPr>
            <w:fldChar w:fldCharType="begin"/>
          </w:r>
          <w:r>
            <w:rPr>
              <w:rFonts w:ascii="Times New Roman" w:eastAsia="Times New Roman" w:hAnsi="Times New Roman" w:cs="Times New Roman"/>
              <w:b/>
              <w:bCs/>
              <w:color w:val="000000"/>
              <w:sz w:val="20"/>
              <w:szCs w:val="20"/>
            </w:rPr>
            <w:instrText>PAGE</w:instrText>
          </w:r>
          <w:r>
            <w:rPr>
              <w:rFonts w:ascii="Times New Roman" w:eastAsia="Times New Roman" w:hAnsi="Times New Roman" w:cs="Times New Roman"/>
              <w:b/>
              <w:bCs/>
              <w:color w:val="000000"/>
              <w:sz w:val="20"/>
              <w:szCs w:val="20"/>
            </w:rPr>
            <w:fldChar w:fldCharType="separate"/>
          </w:r>
          <w:r w:rsidR="00BA7C6E">
            <w:rPr>
              <w:rFonts w:ascii="Times New Roman" w:eastAsia="Times New Roman" w:hAnsi="Times New Roman" w:cs="Times New Roman"/>
              <w:b/>
              <w:bCs/>
              <w:noProof/>
              <w:color w:val="000000"/>
              <w:sz w:val="20"/>
              <w:szCs w:val="20"/>
            </w:rPr>
            <w:t>1</w:t>
          </w:r>
          <w:r>
            <w:rPr>
              <w:rFonts w:ascii="Times New Roman" w:eastAsia="Times New Roman" w:hAnsi="Times New Roman" w:cs="Times New Roman"/>
              <w:b/>
              <w:bCs/>
              <w:color w:val="000000"/>
              <w:sz w:val="20"/>
              <w:szCs w:val="20"/>
            </w:rPr>
            <w:fldChar w:fldCharType="end"/>
          </w:r>
          <w:r>
            <w:rPr>
              <w:rFonts w:ascii="Times New Roman" w:eastAsia="Times New Roman" w:hAnsi="Times New Roman" w:cs="Times New Roman"/>
              <w:b/>
              <w:bCs/>
              <w:color w:val="000000"/>
              <w:sz w:val="20"/>
              <w:szCs w:val="20"/>
            </w:rPr>
            <w:t xml:space="preserve"> of </w:t>
          </w:r>
          <w:r>
            <w:rPr>
              <w:rFonts w:ascii="Times New Roman" w:eastAsia="Times New Roman" w:hAnsi="Times New Roman" w:cs="Times New Roman"/>
              <w:b/>
              <w:bCs/>
              <w:color w:val="000000"/>
              <w:sz w:val="20"/>
              <w:szCs w:val="20"/>
            </w:rPr>
            <w:fldChar w:fldCharType="begin"/>
          </w:r>
          <w:r>
            <w:rPr>
              <w:rFonts w:ascii="Times New Roman" w:eastAsia="Times New Roman" w:hAnsi="Times New Roman" w:cs="Times New Roman"/>
              <w:b/>
              <w:bCs/>
              <w:color w:val="000000"/>
              <w:sz w:val="20"/>
              <w:szCs w:val="20"/>
            </w:rPr>
            <w:instrText>NUMPAGES</w:instrText>
          </w:r>
          <w:r>
            <w:rPr>
              <w:rFonts w:ascii="Times New Roman" w:eastAsia="Times New Roman" w:hAnsi="Times New Roman" w:cs="Times New Roman"/>
              <w:b/>
              <w:bCs/>
              <w:color w:val="000000"/>
              <w:sz w:val="20"/>
              <w:szCs w:val="20"/>
            </w:rPr>
            <w:fldChar w:fldCharType="separate"/>
          </w:r>
          <w:r w:rsidR="00BA7C6E">
            <w:rPr>
              <w:rFonts w:ascii="Times New Roman" w:eastAsia="Times New Roman" w:hAnsi="Times New Roman" w:cs="Times New Roman"/>
              <w:b/>
              <w:bCs/>
              <w:noProof/>
              <w:color w:val="000000"/>
              <w:sz w:val="20"/>
              <w:szCs w:val="20"/>
            </w:rPr>
            <w:t>2</w:t>
          </w:r>
          <w:r>
            <w:rPr>
              <w:rFonts w:ascii="Times New Roman" w:eastAsia="Times New Roman" w:hAnsi="Times New Roman" w:cs="Times New Roman"/>
              <w:b/>
              <w:bCs/>
              <w:color w:val="000000"/>
              <w:sz w:val="20"/>
              <w:szCs w:val="20"/>
            </w:rPr>
            <w:fldChar w:fldCharType="end"/>
          </w:r>
        </w:p>
      </w:tc>
    </w:tr>
  </w:tbl>
  <w:p w14:paraId="5020E003" w14:textId="77777777" w:rsidR="002972A2" w:rsidRDefault="002972A2">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FC1BA1"/>
    <w:multiLevelType w:val="multilevel"/>
    <w:tmpl w:val="51B644FA"/>
    <w:lvl w:ilvl="0">
      <w:start w:val="1"/>
      <w:numFmt w:val="decimal"/>
      <w:pStyle w:val="ManualChapter"/>
      <w:lvlText w:val="%1."/>
      <w:lvlJc w:val="left"/>
      <w:pPr>
        <w:tabs>
          <w:tab w:val="num" w:pos="720"/>
        </w:tabs>
        <w:ind w:left="720" w:hanging="720"/>
      </w:pPr>
    </w:lvl>
    <w:lvl w:ilvl="1">
      <w:start w:val="1"/>
      <w:numFmt w:val="decimal"/>
      <w:pStyle w:val="Manualheading11"/>
      <w:lvlText w:val="%2."/>
      <w:lvlJc w:val="left"/>
      <w:pPr>
        <w:tabs>
          <w:tab w:val="num" w:pos="1440"/>
        </w:tabs>
        <w:ind w:left="1440" w:hanging="720"/>
      </w:pPr>
    </w:lvl>
    <w:lvl w:ilvl="2">
      <w:start w:val="1"/>
      <w:numFmt w:val="decimal"/>
      <w:pStyle w:val="Manualheading111"/>
      <w:lvlText w:val="%3."/>
      <w:lvlJc w:val="left"/>
      <w:pPr>
        <w:tabs>
          <w:tab w:val="num" w:pos="2160"/>
        </w:tabs>
        <w:ind w:left="2160" w:hanging="720"/>
      </w:pPr>
    </w:lvl>
    <w:lvl w:ilvl="3">
      <w:start w:val="1"/>
      <w:numFmt w:val="decimal"/>
      <w:pStyle w:val="Manualsuba"/>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40476178">
    <w:abstractNumId w:val="0"/>
  </w:num>
  <w:num w:numId="2" w16cid:durableId="9954535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2A2"/>
    <w:rsid w:val="002972A2"/>
    <w:rsid w:val="00BA7C6E"/>
    <w:rsid w:val="00C27197"/>
    <w:rsid w:val="00F64A23"/>
  </w:rsids>
  <m:mathPr>
    <m:mathFont m:val="Cambria Math"/>
    <m:brkBin m:val="before"/>
    <m:brkBinSub m:val="--"/>
    <m:smallFrac m:val="0"/>
    <m:dispDef/>
    <m:lMargin m:val="0"/>
    <m:rMargin m:val="0"/>
    <m:defJc m:val="centerGroup"/>
    <m:wrapIndent m:val="1440"/>
    <m:intLim m:val="subSup"/>
    <m:naryLim m:val="undOvr"/>
  </m:mathPr>
  <w:themeFontLang w:val="en-T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CD270"/>
  <w15:docId w15:val="{4AFB14B3-190F-4541-80F4-6A81DF6B5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T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bCs/>
    </w:rPr>
  </w:style>
  <w:style w:type="paragraph" w:styleId="Heading2">
    <w:name w:val="heading 2"/>
    <w:basedOn w:val="Normal"/>
    <w:next w:val="Normal"/>
    <w:uiPriority w:val="9"/>
    <w:semiHidden/>
    <w:unhideWhenUsed/>
    <w:qFormat/>
    <w:pPr>
      <w:keepNext/>
      <w:jc w:val="center"/>
      <w:outlineLvl w:val="1"/>
    </w:pPr>
    <w:rPr>
      <w:b/>
      <w:bCs/>
    </w:rPr>
  </w:style>
  <w:style w:type="paragraph" w:styleId="Heading3">
    <w:name w:val="heading 3"/>
    <w:basedOn w:val="Normal"/>
    <w:next w:val="Normal"/>
    <w:uiPriority w:val="9"/>
    <w:semiHidden/>
    <w:unhideWhenUsed/>
    <w:qFormat/>
    <w:pPr>
      <w:keepNext/>
      <w:widowControl w:val="0"/>
      <w:jc w:val="center"/>
      <w:outlineLvl w:val="2"/>
    </w:pPr>
    <w:rPr>
      <w:b/>
      <w:bCs/>
      <w:sz w:val="20"/>
      <w:szCs w:val="20"/>
    </w:rPr>
  </w:style>
  <w:style w:type="paragraph" w:styleId="Heading4">
    <w:name w:val="heading 4"/>
    <w:basedOn w:val="Normal"/>
    <w:next w:val="Normal"/>
    <w:uiPriority w:val="9"/>
    <w:semiHidden/>
    <w:unhideWhenUsed/>
    <w:qFormat/>
    <w:pPr>
      <w:keepNext/>
      <w:spacing w:before="240" w:after="60"/>
      <w:outlineLvl w:val="3"/>
    </w:pPr>
    <w:rPr>
      <w:rFonts w:ascii="Times New Roman" w:eastAsia="Times New Roman" w:hAnsi="Times New Roman" w:cs="Times New Roman"/>
      <w:b/>
      <w:bCs/>
      <w:sz w:val="28"/>
      <w:szCs w:val="28"/>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Times New Roman" w:eastAsia="Times New Roman" w:hAnsi="Times New Roman"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240" w:after="60"/>
      <w:jc w:val="center"/>
    </w:pPr>
    <w:rPr>
      <w:b/>
      <w:bCs/>
      <w:sz w:val="32"/>
      <w:szCs w:val="32"/>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pPr>
      <w:suppressAutoHyphens/>
      <w:spacing w:line="1" w:lineRule="atLeast"/>
      <w:ind w:leftChars="-1" w:left="-1" w:hangingChars="1" w:hanging="1"/>
      <w:textDirection w:val="btLr"/>
      <w:textAlignment w:val="top"/>
      <w:outlineLvl w:val="0"/>
    </w:pPr>
    <w:rPr>
      <w:rFonts w:ascii="Tms Rmn" w:hAnsi="Tms Rmn"/>
      <w:position w:val="-1"/>
      <w:szCs w:val="20"/>
      <w:lang w:eastAsia="en-US"/>
    </w:rPr>
  </w:style>
  <w:style w:type="paragraph" w:styleId="BalloonText">
    <w:name w:val="Balloon Text"/>
    <w:basedOn w:val="Normal"/>
    <w:pPr>
      <w:suppressAutoHyphens/>
      <w:spacing w:line="1" w:lineRule="atLeast"/>
      <w:ind w:leftChars="-1" w:left="-1" w:hangingChars="1" w:hanging="1"/>
      <w:textDirection w:val="btLr"/>
      <w:textAlignment w:val="top"/>
      <w:outlineLvl w:val="0"/>
    </w:pPr>
    <w:rPr>
      <w:rFonts w:ascii="Tahoma" w:hAnsi="Tahoma" w:cs="Tahoma"/>
      <w:position w:val="-1"/>
      <w:sz w:val="16"/>
      <w:szCs w:val="16"/>
      <w:lang w:eastAsia="en-US"/>
    </w:rPr>
  </w:style>
  <w:style w:type="paragraph" w:customStyle="1" w:styleId="ManualChapter">
    <w:name w:val="Manual Chapter"/>
    <w:basedOn w:val="Normal"/>
    <w:pPr>
      <w:pageBreakBefore/>
      <w:numPr>
        <w:numId w:val="1"/>
      </w:numPr>
      <w:suppressAutoHyphens/>
      <w:spacing w:after="240" w:line="1" w:lineRule="atLeast"/>
      <w:ind w:leftChars="-1" w:left="-1" w:hangingChars="1" w:hanging="1"/>
      <w:jc w:val="center"/>
      <w:textDirection w:val="btLr"/>
      <w:textAlignment w:val="top"/>
      <w:outlineLvl w:val="0"/>
    </w:pPr>
    <w:rPr>
      <w:b/>
      <w:position w:val="-1"/>
      <w:sz w:val="36"/>
      <w:lang w:val="en-CA" w:eastAsia="en-US"/>
    </w:rPr>
  </w:style>
  <w:style w:type="paragraph" w:customStyle="1" w:styleId="Manualheading11">
    <w:name w:val="Manual heading 1.1"/>
    <w:basedOn w:val="Heading2"/>
    <w:pPr>
      <w:numPr>
        <w:ilvl w:val="1"/>
        <w:numId w:val="1"/>
      </w:numPr>
      <w:tabs>
        <w:tab w:val="left" w:pos="1440"/>
        <w:tab w:val="left" w:pos="2160"/>
      </w:tabs>
      <w:suppressAutoHyphens/>
      <w:spacing w:before="240" w:after="120" w:line="1" w:lineRule="atLeast"/>
      <w:ind w:leftChars="-1" w:left="-1" w:hangingChars="1" w:hanging="1"/>
      <w:textDirection w:val="btLr"/>
      <w:textAlignment w:val="top"/>
    </w:pPr>
    <w:rPr>
      <w:bCs w:val="0"/>
      <w:position w:val="-1"/>
      <w:sz w:val="32"/>
      <w:szCs w:val="20"/>
      <w:lang w:eastAsia="en-US"/>
    </w:rPr>
  </w:style>
  <w:style w:type="paragraph" w:customStyle="1" w:styleId="Manualheading111">
    <w:name w:val="Manual heading 1.1.1"/>
    <w:basedOn w:val="Heading3"/>
    <w:pPr>
      <w:widowControl/>
      <w:numPr>
        <w:ilvl w:val="2"/>
        <w:numId w:val="1"/>
      </w:numPr>
      <w:tabs>
        <w:tab w:val="left" w:pos="1440"/>
      </w:tabs>
      <w:suppressAutoHyphens/>
      <w:spacing w:before="120" w:after="120" w:line="1" w:lineRule="atLeast"/>
      <w:ind w:leftChars="-1" w:left="-1" w:hangingChars="1" w:hanging="1"/>
      <w:jc w:val="left"/>
      <w:textDirection w:val="btLr"/>
      <w:textAlignment w:val="top"/>
    </w:pPr>
    <w:rPr>
      <w:b w:val="0"/>
      <w:i/>
      <w:iCs/>
      <w:position w:val="-1"/>
      <w:sz w:val="24"/>
      <w:lang w:val="en-CA" w:eastAsia="en-US"/>
    </w:rPr>
  </w:style>
  <w:style w:type="paragraph" w:customStyle="1" w:styleId="Manualsuba">
    <w:name w:val="Manual sub a)"/>
    <w:basedOn w:val="Normal"/>
    <w:pPr>
      <w:numPr>
        <w:ilvl w:val="3"/>
        <w:numId w:val="1"/>
      </w:numPr>
      <w:suppressAutoHyphens/>
      <w:spacing w:before="60" w:after="60" w:line="1" w:lineRule="atLeast"/>
      <w:ind w:leftChars="-1" w:left="-1" w:hangingChars="1" w:hanging="1"/>
      <w:jc w:val="both"/>
      <w:textDirection w:val="btLr"/>
      <w:textAlignment w:val="top"/>
      <w:outlineLvl w:val="2"/>
    </w:pPr>
    <w:rPr>
      <w:position w:val="-1"/>
      <w:sz w:val="22"/>
      <w:lang w:val="en-CA" w:eastAsia="en-US"/>
    </w:rPr>
  </w:style>
  <w:style w:type="paragraph" w:styleId="Footer">
    <w:name w:val="foot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lang w:eastAsia="en-US"/>
    </w:rPr>
  </w:style>
  <w:style w:type="character" w:styleId="PageNumber">
    <w:name w:val="page number"/>
    <w:basedOn w:val="DefaultParagraphFont"/>
    <w:rPr>
      <w:w w:val="100"/>
      <w:position w:val="-1"/>
      <w:effect w:val="none"/>
      <w:vertAlign w:val="baseline"/>
      <w:cs w:val="0"/>
      <w:em w:val="none"/>
    </w:rPr>
  </w:style>
  <w:style w:type="paragraph" w:styleId="Header">
    <w:name w:val="head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lang w:eastAsia="en-US"/>
    </w:rPr>
  </w:style>
  <w:style w:type="paragraph" w:styleId="List">
    <w:name w:val="List"/>
    <w:basedOn w:val="Normal"/>
    <w:pPr>
      <w:suppressAutoHyphens/>
      <w:spacing w:line="1" w:lineRule="atLeast"/>
      <w:ind w:leftChars="-1" w:left="360" w:hangingChars="1" w:hanging="360"/>
      <w:textDirection w:val="btLr"/>
      <w:textAlignment w:val="top"/>
      <w:outlineLvl w:val="0"/>
    </w:pPr>
    <w:rPr>
      <w:position w:val="-1"/>
      <w:lang w:eastAsia="en-US"/>
    </w:rPr>
  </w:style>
  <w:style w:type="paragraph" w:styleId="List2">
    <w:name w:val="List 2"/>
    <w:basedOn w:val="Normal"/>
    <w:pPr>
      <w:suppressAutoHyphens/>
      <w:spacing w:line="1" w:lineRule="atLeast"/>
      <w:ind w:leftChars="-1" w:left="720" w:hangingChars="1" w:hanging="360"/>
      <w:textDirection w:val="btLr"/>
      <w:textAlignment w:val="top"/>
      <w:outlineLvl w:val="0"/>
    </w:pPr>
    <w:rPr>
      <w:position w:val="-1"/>
      <w:lang w:eastAsia="en-US"/>
    </w:rPr>
  </w:style>
  <w:style w:type="paragraph" w:styleId="List3">
    <w:name w:val="List 3"/>
    <w:basedOn w:val="Normal"/>
    <w:pPr>
      <w:suppressAutoHyphens/>
      <w:spacing w:line="1" w:lineRule="atLeast"/>
      <w:ind w:leftChars="-1" w:left="1080" w:hangingChars="1" w:hanging="360"/>
      <w:textDirection w:val="btLr"/>
      <w:textAlignment w:val="top"/>
      <w:outlineLvl w:val="0"/>
    </w:pPr>
    <w:rPr>
      <w:position w:val="-1"/>
      <w:lang w:eastAsia="en-US"/>
    </w:rPr>
  </w:style>
  <w:style w:type="paragraph" w:styleId="List4">
    <w:name w:val="List 4"/>
    <w:basedOn w:val="Normal"/>
    <w:pPr>
      <w:suppressAutoHyphens/>
      <w:spacing w:line="1" w:lineRule="atLeast"/>
      <w:ind w:leftChars="-1" w:left="1440" w:hangingChars="1" w:hanging="360"/>
      <w:textDirection w:val="btLr"/>
      <w:textAlignment w:val="top"/>
      <w:outlineLvl w:val="0"/>
    </w:pPr>
    <w:rPr>
      <w:position w:val="-1"/>
      <w:lang w:eastAsia="en-US"/>
    </w:rPr>
  </w:style>
  <w:style w:type="paragraph" w:styleId="Date">
    <w:name w:val="Date"/>
    <w:basedOn w:val="Normal"/>
    <w:next w:val="Normal"/>
    <w:pPr>
      <w:suppressAutoHyphens/>
      <w:spacing w:line="1" w:lineRule="atLeast"/>
      <w:ind w:leftChars="-1" w:left="-1" w:hangingChars="1" w:hanging="1"/>
      <w:textDirection w:val="btLr"/>
      <w:textAlignment w:val="top"/>
      <w:outlineLvl w:val="0"/>
    </w:pPr>
    <w:rPr>
      <w:position w:val="-1"/>
      <w:lang w:eastAsia="en-US"/>
    </w:rPr>
  </w:style>
  <w:style w:type="paragraph" w:styleId="ListContinue2">
    <w:name w:val="List Continue 2"/>
    <w:basedOn w:val="Normal"/>
    <w:pPr>
      <w:suppressAutoHyphens/>
      <w:spacing w:after="120" w:line="1" w:lineRule="atLeast"/>
      <w:ind w:leftChars="-1" w:left="720" w:hangingChars="1" w:hanging="1"/>
      <w:textDirection w:val="btLr"/>
      <w:textAlignment w:val="top"/>
      <w:outlineLvl w:val="0"/>
    </w:pPr>
    <w:rPr>
      <w:position w:val="-1"/>
      <w:lang w:eastAsia="en-US"/>
    </w:rPr>
  </w:style>
  <w:style w:type="paragraph" w:styleId="Caption">
    <w:name w:val="caption"/>
    <w:basedOn w:val="Normal"/>
    <w:next w:val="Normal"/>
    <w:pPr>
      <w:suppressAutoHyphens/>
      <w:spacing w:line="1" w:lineRule="atLeast"/>
      <w:ind w:leftChars="-1" w:left="-1" w:hangingChars="1" w:hanging="1"/>
      <w:textDirection w:val="btLr"/>
      <w:textAlignment w:val="top"/>
      <w:outlineLvl w:val="0"/>
    </w:pPr>
    <w:rPr>
      <w:b/>
      <w:bCs/>
      <w:position w:val="-1"/>
      <w:sz w:val="20"/>
      <w:szCs w:val="20"/>
      <w:lang w:eastAsia="en-US"/>
    </w:rPr>
  </w:style>
  <w:style w:type="paragraph" w:styleId="BodyText">
    <w:name w:val="Body Text"/>
    <w:basedOn w:val="Normal"/>
    <w:pPr>
      <w:suppressAutoHyphens/>
      <w:spacing w:after="120" w:line="1" w:lineRule="atLeast"/>
      <w:ind w:leftChars="-1" w:left="-1" w:hangingChars="1" w:hanging="1"/>
      <w:textDirection w:val="btLr"/>
      <w:textAlignment w:val="top"/>
      <w:outlineLvl w:val="0"/>
    </w:pPr>
    <w:rPr>
      <w:position w:val="-1"/>
      <w:lang w:eastAsia="en-US"/>
    </w:rPr>
  </w:style>
  <w:style w:type="paragraph" w:styleId="BodyTextFirstIndent">
    <w:name w:val="Body Text First Indent"/>
    <w:basedOn w:val="BodyText"/>
    <w:pPr>
      <w:ind w:firstLine="210"/>
    </w:pPr>
  </w:style>
  <w:style w:type="paragraph" w:styleId="BodyTextIndent">
    <w:name w:val="Body Text Indent"/>
    <w:basedOn w:val="Normal"/>
    <w:pPr>
      <w:suppressAutoHyphens/>
      <w:spacing w:after="120" w:line="1" w:lineRule="atLeast"/>
      <w:ind w:leftChars="-1" w:left="360" w:hangingChars="1" w:hanging="1"/>
      <w:textDirection w:val="btLr"/>
      <w:textAlignment w:val="top"/>
      <w:outlineLvl w:val="0"/>
    </w:pPr>
    <w:rPr>
      <w:position w:val="-1"/>
      <w:lang w:eastAsia="en-US"/>
    </w:rPr>
  </w:style>
  <w:style w:type="paragraph" w:styleId="BodyTextFirstIndent2">
    <w:name w:val="Body Text First Indent 2"/>
    <w:basedOn w:val="BodyTextIndent"/>
    <w:pPr>
      <w:ind w:firstLine="210"/>
    </w:pPr>
  </w:style>
  <w:style w:type="paragraph" w:styleId="PlainText">
    <w:name w:val="Plain Text"/>
    <w:basedOn w:val="Normal"/>
    <w:pPr>
      <w:suppressAutoHyphens/>
      <w:spacing w:line="1" w:lineRule="atLeast"/>
      <w:ind w:leftChars="-1" w:left="-1" w:hangingChars="1" w:hanging="1"/>
      <w:textDirection w:val="btLr"/>
      <w:textAlignment w:val="top"/>
      <w:outlineLvl w:val="0"/>
    </w:pPr>
    <w:rPr>
      <w:rFonts w:ascii="Courier New" w:hAnsi="Courier New" w:cs="Courier New"/>
      <w:color w:val="000000"/>
      <w:position w:val="-1"/>
      <w:sz w:val="20"/>
      <w:szCs w:val="20"/>
      <w:lang w:eastAsia="en-US"/>
    </w:rPr>
  </w:style>
  <w:style w:type="character" w:customStyle="1" w:styleId="PlainTextChar">
    <w:name w:val="Plain Text Char"/>
    <w:rPr>
      <w:rFonts w:ascii="Courier New" w:hAnsi="Courier New" w:cs="Courier New"/>
      <w:color w:val="000000"/>
      <w:w w:val="100"/>
      <w:position w:val="-1"/>
      <w:effect w:val="none"/>
      <w:vertAlign w:val="baseline"/>
      <w:cs w:val="0"/>
      <w:em w:val="none"/>
      <w:lang w:val="en-GB" w:eastAsia="en-US" w:bidi="ar-SA"/>
    </w:rPr>
  </w:style>
  <w:style w:type="character" w:customStyle="1" w:styleId="FooterChar">
    <w:name w:val="Footer Char"/>
    <w:rPr>
      <w:rFonts w:ascii="Arial" w:hAnsi="Arial"/>
      <w:w w:val="100"/>
      <w:position w:val="-1"/>
      <w:sz w:val="24"/>
      <w:szCs w:val="24"/>
      <w:effect w:val="none"/>
      <w:vertAlign w:val="baseline"/>
      <w:cs w:val="0"/>
      <w:em w:val="none"/>
      <w:lang w:val="en-GB"/>
    </w:rPr>
  </w:style>
  <w:style w:type="paragraph" w:styleId="BodyText2">
    <w:name w:val="Body Text 2"/>
    <w:basedOn w:val="Normal"/>
    <w:pPr>
      <w:suppressAutoHyphens/>
      <w:spacing w:after="120" w:line="480" w:lineRule="auto"/>
      <w:ind w:leftChars="-1" w:left="-1" w:hangingChars="1" w:hanging="1"/>
      <w:textDirection w:val="btLr"/>
      <w:textAlignment w:val="top"/>
      <w:outlineLvl w:val="0"/>
    </w:pPr>
    <w:rPr>
      <w:position w:val="-1"/>
      <w:lang w:eastAsia="en-US"/>
    </w:rPr>
  </w:style>
  <w:style w:type="character" w:customStyle="1" w:styleId="BodyText2Char">
    <w:name w:val="Body Text 2 Char"/>
    <w:rPr>
      <w:rFonts w:ascii="Arial" w:hAnsi="Arial"/>
      <w:w w:val="100"/>
      <w:position w:val="-1"/>
      <w:sz w:val="24"/>
      <w:szCs w:val="24"/>
      <w:effect w:val="none"/>
      <w:vertAlign w:val="baseline"/>
      <w:cs w:val="0"/>
      <w:em w:val="none"/>
      <w:lang w:val="en-GB"/>
    </w:rPr>
  </w:style>
  <w:style w:type="character" w:customStyle="1" w:styleId="Heading6Char">
    <w:name w:val="Heading 6 Char"/>
    <w:rPr>
      <w:b/>
      <w:bCs/>
      <w:w w:val="100"/>
      <w:position w:val="-1"/>
      <w:sz w:val="22"/>
      <w:szCs w:val="22"/>
      <w:effect w:val="none"/>
      <w:vertAlign w:val="baseline"/>
      <w:cs w:val="0"/>
      <w:em w:val="none"/>
      <w:lang w:val="en-GB"/>
    </w:rPr>
  </w:style>
  <w:style w:type="character" w:styleId="Hyperlink">
    <w:name w:val="Hyperlink"/>
    <w:rPr>
      <w:color w:val="0000FF"/>
      <w:w w:val="100"/>
      <w:position w:val="-1"/>
      <w:u w:val="single"/>
      <w:effect w:val="none"/>
      <w:vertAlign w:val="baseline"/>
      <w:cs w:val="0"/>
      <w:em w:val="none"/>
    </w:rPr>
  </w:style>
  <w:style w:type="paragraph" w:customStyle="1" w:styleId="Style3Char">
    <w:name w:val="Style (3) Char"/>
    <w:basedOn w:val="Normal"/>
    <w:p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1Char">
    <w:name w:val="Style (1) Char"/>
    <w:basedOn w:val="Normal"/>
    <w:pPr>
      <w:tabs>
        <w:tab w:val="num" w:pos="1152"/>
      </w:tabs>
      <w:suppressAutoHyphens/>
      <w:spacing w:line="1" w:lineRule="atLeast"/>
      <w:ind w:leftChars="-1" w:left="432" w:hangingChars="1" w:hanging="1"/>
      <w:textDirection w:val="btLr"/>
      <w:textAlignment w:val="top"/>
      <w:outlineLvl w:val="0"/>
    </w:pPr>
    <w:rPr>
      <w:rFonts w:ascii="Times New Roman" w:hAnsi="Times New Roman"/>
      <w:position w:val="-1"/>
      <w:sz w:val="22"/>
      <w:szCs w:val="20"/>
      <w:lang w:eastAsia="en-US"/>
    </w:rPr>
  </w:style>
  <w:style w:type="paragraph" w:customStyle="1" w:styleId="Style4Char">
    <w:name w:val="Style (4) Char"/>
    <w:basedOn w:val="Normal"/>
    <w:p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BulletText2">
    <w:name w:val="Bullet Text 2"/>
    <w:basedOn w:val="Normal"/>
    <w:pPr>
      <w:tabs>
        <w:tab w:val="num" w:pos="720"/>
      </w:tabs>
      <w:suppressAutoHyphens/>
      <w:spacing w:line="1" w:lineRule="atLeast"/>
      <w:ind w:leftChars="-1" w:left="-1" w:hangingChars="1" w:hanging="1"/>
      <w:textDirection w:val="btLr"/>
      <w:textAlignment w:val="top"/>
      <w:outlineLvl w:val="0"/>
    </w:pPr>
    <w:rPr>
      <w:position w:val="-1"/>
      <w:sz w:val="22"/>
      <w:szCs w:val="20"/>
      <w:lang w:eastAsia="en-US"/>
    </w:rPr>
  </w:style>
  <w:style w:type="character" w:customStyle="1" w:styleId="BalloonTextChar">
    <w:name w:val="Balloon Text Char"/>
    <w:rPr>
      <w:rFonts w:ascii="Tahoma" w:hAnsi="Tahoma" w:cs="Tahoma"/>
      <w:w w:val="100"/>
      <w:position w:val="-1"/>
      <w:sz w:val="16"/>
      <w:szCs w:val="16"/>
      <w:effect w:val="none"/>
      <w:vertAlign w:val="baseline"/>
      <w:cs w:val="0"/>
      <w:em w:val="none"/>
      <w:lang w:val="en-GB"/>
    </w:rPr>
  </w:style>
  <w:style w:type="paragraph" w:styleId="ListParagraph">
    <w:name w:val="List Paragraph"/>
    <w:basedOn w:val="Normal"/>
    <w:pPr>
      <w:suppressAutoHyphens/>
      <w:spacing w:line="1" w:lineRule="atLeast"/>
      <w:ind w:leftChars="-1" w:left="720" w:hangingChars="1" w:hanging="1"/>
      <w:textDirection w:val="btLr"/>
      <w:textAlignment w:val="top"/>
      <w:outlineLvl w:val="0"/>
    </w:pPr>
    <w:rPr>
      <w:rFonts w:ascii="Times New Roman" w:hAnsi="Times New Roman"/>
      <w:position w:val="-1"/>
      <w:lang w:eastAsia="en-US"/>
    </w:rPr>
  </w:style>
  <w:style w:type="character" w:customStyle="1" w:styleId="Heading5Char">
    <w:name w:val="Heading 5 Char"/>
    <w:rPr>
      <w:rFonts w:ascii="Arial" w:hAnsi="Arial"/>
      <w:b/>
      <w:bCs/>
      <w:i/>
      <w:iCs/>
      <w:w w:val="100"/>
      <w:position w:val="-1"/>
      <w:sz w:val="26"/>
      <w:szCs w:val="26"/>
      <w:effect w:val="none"/>
      <w:vertAlign w:val="baseline"/>
      <w:cs w:val="0"/>
      <w:em w:val="none"/>
      <w:lang w:val="en-GB"/>
    </w:rPr>
  </w:style>
  <w:style w:type="paragraph" w:styleId="NormalWeb">
    <w:name w:val="Normal (Web)"/>
    <w:basedOn w:val="Normal"/>
    <w:pPr>
      <w:suppressAutoHyphens/>
      <w:spacing w:before="100" w:beforeAutospacing="1" w:after="100" w:afterAutospacing="1" w:line="1" w:lineRule="atLeast"/>
      <w:ind w:leftChars="-1" w:left="-1" w:hangingChars="1" w:hanging="1"/>
      <w:textDirection w:val="btLr"/>
      <w:textAlignment w:val="top"/>
      <w:outlineLvl w:val="0"/>
    </w:pPr>
    <w:rPr>
      <w:color w:val="000080"/>
      <w:position w:val="-1"/>
      <w:sz w:val="22"/>
      <w:szCs w:val="20"/>
      <w:lang w:eastAsia="en-US" w:bidi="en-US"/>
    </w:rPr>
  </w:style>
  <w:style w:type="paragraph" w:styleId="NoSpacing">
    <w:name w:val="No Spacing"/>
    <w:pPr>
      <w:suppressAutoHyphens/>
      <w:overflowPunct w:val="0"/>
      <w:autoSpaceDE w:val="0"/>
      <w:autoSpaceDN w:val="0"/>
      <w:adjustRightInd w:val="0"/>
      <w:spacing w:line="1" w:lineRule="atLeast"/>
      <w:ind w:leftChars="-1" w:left="-1" w:hangingChars="1" w:hanging="1"/>
      <w:textDirection w:val="btLr"/>
      <w:textAlignment w:val="baseline"/>
      <w:outlineLvl w:val="0"/>
    </w:pPr>
    <w:rPr>
      <w:noProof/>
      <w:position w:val="-1"/>
      <w:lang/>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1bs5kdtbQgZX5rw9rbqeNzgjTA==">CgMxLjAyDmguZGx4c241dnlsbWo0OAByITFmeXBwR1psaHFCdWJNdnpkMllCM1BTOXowWXg3N0FHMg==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1623</Words>
  <Characters>9256</Characters>
  <Application>Microsoft Office Word</Application>
  <DocSecurity>0</DocSecurity>
  <Lines>77</Lines>
  <Paragraphs>21</Paragraphs>
  <ScaleCrop>false</ScaleCrop>
  <Company/>
  <LinksUpToDate>false</LinksUpToDate>
  <CharactersWithSpaces>10858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skyalimpa</dc:creator>
  <cp:lastModifiedBy>Beatrice Mbalamwezi</cp:lastModifiedBy>
  <cp:revision>2</cp:revision>
  <dcterms:created xsi:type="dcterms:W3CDTF">2026-09-17T12:01:00Z</dcterms:created>
  <dcterms:modified xsi:type="dcterms:W3CDTF">2026-09-17T12:01:00Z</dcterms:modified>
</cp:coreProperties>
</file>